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3600" w:lineRule="auto"/>
        <w:rPr/>
      </w:pPr>
      <w:r>
        <w:rPr>
          <w:rtl w:val="0"/>
        </w:rPr>
        <w:t xml:space="preserve"> </w:t>
      </w:r>
    </w:p>
    <w:p w:rsidR="00000000" w:rsidDel="00000000" w:rsidP="00000000" w:rsidRDefault="00000000" w:rsidRPr="00000000" w14:paraId="00000002">
      <w:pPr>
        <w:spacing w:after="200" w:lineRule="auto"/>
        <w:jc w:val="center"/>
        <w:rPr/>
      </w:pPr>
      <w:r>
        <w:rPr>
          <w:rFonts w:ascii="Arial" w:cs="Arial" w:eastAsia="Arial" w:hAnsi="Arial"/>
          <w:b w:val="1"/>
          <w:bCs w:val="1"/>
          <w:color w:val="1f3864"/>
          <w:sz w:val="52"/>
          <w:szCs w:val="52"/>
          <w:rtl w:val="0"/>
        </w:rPr>
        <w:t xml:space="preserve">SPIX FOUNDATION</w:t>
      </w:r>
      <w:r>
        <w:rPr>
          <w:rtl w:val="0"/>
        </w:rPr>
      </w:r>
    </w:p>
    <w:p w:rsidR="00000000" w:rsidDel="00000000" w:rsidP="00000000" w:rsidRDefault="00000000" w:rsidRPr="00000000" w14:paraId="00000003">
      <w:pPr>
        <w:spacing w:after="400" w:lineRule="auto"/>
        <w:jc w:val="center"/>
        <w:rPr/>
      </w:pPr>
      <w:r>
        <w:rPr>
          <w:rFonts w:ascii="Arial" w:cs="Arial" w:eastAsia="Arial" w:hAnsi="Arial"/>
          <w:color w:val="2f5496"/>
          <w:sz w:val="40"/>
          <w:szCs w:val="40"/>
          <w:rtl w:val="0"/>
        </w:rPr>
        <w:t xml:space="preserve">Strategic Business Plan</w:t>
      </w:r>
      <w:r>
        <w:rPr>
          <w:rtl w:val="0"/>
        </w:rPr>
      </w:r>
    </w:p>
    <w:p w:rsidR="00000000" w:rsidDel="00000000" w:rsidP="00000000" w:rsidRDefault="00000000" w:rsidRPr="00000000" w14:paraId="00000004">
      <w:pPr>
        <w:spacing w:after="200" w:lineRule="auto"/>
        <w:jc w:val="center"/>
        <w:rPr/>
      </w:pPr>
      <w:r>
        <w:rPr>
          <w:rFonts w:ascii="Arial" w:cs="Arial" w:eastAsia="Arial" w:hAnsi="Arial"/>
          <w:color w:val="595959"/>
          <w:sz w:val="28"/>
          <w:szCs w:val="28"/>
          <w:rtl w:val="0"/>
        </w:rPr>
        <w:t xml:space="preserve">Programme Years 1–7</w:t>
      </w:r>
      <w:r>
        <w:rPr>
          <w:rtl w:val="0"/>
        </w:rPr>
      </w:r>
    </w:p>
    <w:p w:rsidR="00000000" w:rsidDel="00000000" w:rsidP="00000000" w:rsidRDefault="00000000" w:rsidRPr="00000000" w14:paraId="00000005">
      <w:pPr>
        <w:spacing w:before="800" w:lineRule="auto"/>
        <w:jc w:val="center"/>
        <w:rPr/>
      </w:pPr>
      <w:r>
        <w:rPr>
          <w:rFonts w:ascii="Arial" w:cs="Arial" w:eastAsia="Arial" w:hAnsi="Arial"/>
          <w:color w:val="595959"/>
          <w:sz w:val="22"/>
          <w:szCs w:val="22"/>
          <w:rtl w:val="0"/>
        </w:rPr>
        <w:t xml:space="preserve">Technical Steward of RESPECT™ and</w:t>
      </w:r>
      <w:r>
        <w:rPr>
          <w:rtl w:val="0"/>
        </w:rPr>
      </w:r>
    </w:p>
    <w:p w:rsidR="00000000" w:rsidDel="00000000" w:rsidP="00000000" w:rsidRDefault="00000000" w:rsidRPr="00000000" w14:paraId="00000006">
      <w:pPr>
        <w:spacing w:after="200" w:lineRule="auto"/>
        <w:jc w:val="center"/>
        <w:rPr/>
      </w:pPr>
      <w:r>
        <w:rPr>
          <w:rFonts w:ascii="Arial" w:cs="Arial" w:eastAsia="Arial" w:hAnsi="Arial"/>
          <w:color w:val="595959"/>
          <w:sz w:val="22"/>
          <w:szCs w:val="22"/>
          <w:rtl w:val="0"/>
        </w:rPr>
        <w:t xml:space="preserve">Africa’s Digital Public Infrastructure for Education</w:t>
      </w:r>
      <w:r>
        <w:rPr>
          <w:rtl w:val="0"/>
        </w:rPr>
      </w:r>
    </w:p>
    <w:p w:rsidR="00000000" w:rsidDel="00000000" w:rsidP="00000000" w:rsidRDefault="00000000" w:rsidRPr="00000000" w14:paraId="00000007">
      <w:pPr>
        <w:spacing w:before="1600" w:lineRule="auto"/>
        <w:jc w:val="center"/>
        <w:rPr/>
      </w:pPr>
      <w:r>
        <w:rPr>
          <w:rFonts w:ascii="Arial" w:cs="Arial" w:eastAsia="Arial" w:hAnsi="Arial"/>
          <w:b w:val="1"/>
          <w:bCs w:val="1"/>
          <w:color w:val="c00000"/>
          <w:sz w:val="22"/>
          <w:szCs w:val="22"/>
          <w:rtl w:val="0"/>
        </w:rPr>
        <w:t xml:space="preserve">DRAFT — For Internal Review</w:t>
      </w:r>
      <w:r>
        <w:rPr>
          <w:rtl w:val="0"/>
        </w:rPr>
      </w:r>
    </w:p>
    <w:p w:rsidR="00000000" w:rsidDel="00000000" w:rsidP="00000000" w:rsidRDefault="00000000" w:rsidRPr="00000000" w14:paraId="00000008">
      <w:pPr>
        <w:spacing w:after="200" w:lineRule="auto"/>
        <w:jc w:val="center"/>
        <w:rPr/>
        <w:sectPr>
          <w:pgSz w:h="15840" w:w="12240" w:orient="portrait"/>
          <w:pgMar w:bottom="1440" w:top="1440" w:left="1440" w:right="1440" w:header="708" w:footer="708"/>
          <w:pgNumType w:start="1"/>
        </w:sectPr>
      </w:pPr>
      <w:r>
        <w:rPr>
          <w:rFonts w:ascii="Arial" w:cs="Arial" w:eastAsia="Arial" w:hAnsi="Arial"/>
          <w:color w:val="595959"/>
          <w:sz w:val="22"/>
          <w:szCs w:val="22"/>
          <w:rtl w:val="0"/>
        </w:rPr>
        <w:t xml:space="preserve">February 2026</w:t>
      </w:r>
      <w:r>
        <w:rPr>
          <w:rtl w:val="0"/>
        </w:rPr>
      </w:r>
    </w:p>
    <w:p w:rsidR="00000000" w:rsidDel="00000000" w:rsidP="00000000" w:rsidRDefault="00000000" w:rsidRPr="00000000" w14:paraId="00000009">
      <w:pPr>
        <w:pStyle w:val="Heading1"/>
        <w:spacing w:after="200" w:before="360" w:lineRule="auto"/>
        <w:rPr/>
      </w:pPr>
      <w:r>
        <w:rPr>
          <w:rFonts w:ascii="Arial" w:cs="Arial" w:eastAsia="Arial" w:hAnsi="Arial"/>
          <w:b w:val="1"/>
          <w:bCs w:val="1"/>
          <w:color w:val="1f3864"/>
          <w:sz w:val="32"/>
          <w:szCs w:val="32"/>
          <w:rtl w:val="0"/>
        </w:rPr>
        <w:t xml:space="preserve">Table of Contents</w:t>
      </w:r>
      <w:r>
        <w:rPr>
          <w:rtl w:val="0"/>
        </w:rPr>
      </w:r>
    </w:p>
    <w:p w:rsidR="00000000" w:rsidDel="00000000" w:rsidP="00000000" w:rsidRDefault="00000000" w:rsidRPr="00000000" w14:paraId="0000000A">
      <w:pPr>
        <w:tabs>
          <w:tab w:val="right" w:leader="none" w:pos="9360"/>
        </w:tabs>
        <w:spacing w:after="120" w:lineRule="auto"/>
        <w:rPr/>
      </w:pPr>
      <w:r>
        <w:rPr>
          <w:rFonts w:ascii="Arial" w:cs="Arial" w:eastAsia="Arial" w:hAnsi="Arial"/>
          <w:b w:val="1"/>
          <w:bCs w:val="1"/>
          <w:sz w:val="22"/>
          <w:szCs w:val="22"/>
          <w:rtl w:val="0"/>
        </w:rPr>
        <w:t xml:space="preserve">1. Executive Summary</w:t>
      </w:r>
      <w:r>
        <w:rPr>
          <w:rFonts w:ascii="Arial" w:cs="Arial" w:eastAsia="Arial" w:hAnsi="Arial"/>
          <w:sz w:val="22"/>
          <w:szCs w:val="22"/>
          <w:rtl w:val="0"/>
        </w:rPr>
        <w:tab/>
        <w:t xml:space="preserve">3</w:t>
      </w:r>
      <w:r>
        <w:rPr>
          <w:rtl w:val="0"/>
        </w:rPr>
      </w:r>
    </w:p>
    <w:p w:rsidR="00000000" w:rsidDel="00000000" w:rsidP="00000000" w:rsidRDefault="00000000" w:rsidRPr="00000000" w14:paraId="0000000B">
      <w:pPr>
        <w:tabs>
          <w:tab w:val="right" w:leader="none" w:pos="9360"/>
        </w:tabs>
        <w:spacing w:after="120" w:lineRule="auto"/>
        <w:rPr/>
      </w:pPr>
      <w:r>
        <w:rPr>
          <w:rFonts w:ascii="Arial" w:cs="Arial" w:eastAsia="Arial" w:hAnsi="Arial"/>
          <w:b w:val="1"/>
          <w:bCs w:val="1"/>
          <w:sz w:val="22"/>
          <w:szCs w:val="22"/>
          <w:rtl w:val="0"/>
        </w:rPr>
        <w:t xml:space="preserve">2. Mission and Governance</w:t>
      </w:r>
      <w:r>
        <w:rPr>
          <w:rFonts w:ascii="Arial" w:cs="Arial" w:eastAsia="Arial" w:hAnsi="Arial"/>
          <w:sz w:val="22"/>
          <w:szCs w:val="22"/>
          <w:rtl w:val="0"/>
        </w:rPr>
        <w:tab/>
        <w:t xml:space="preserve">4</w:t>
      </w:r>
      <w:r>
        <w:rPr>
          <w:rtl w:val="0"/>
        </w:rPr>
      </w:r>
    </w:p>
    <w:p w:rsidR="00000000" w:rsidDel="00000000" w:rsidP="00000000" w:rsidRDefault="00000000" w:rsidRPr="00000000" w14:paraId="0000000C">
      <w:pPr>
        <w:tabs>
          <w:tab w:val="right" w:leader="none" w:pos="9360"/>
        </w:tabs>
        <w:spacing w:after="60" w:lineRule="auto"/>
        <w:ind w:left="360" w:firstLine="0"/>
        <w:rPr/>
      </w:pPr>
      <w:r>
        <w:rPr>
          <w:rFonts w:ascii="Arial" w:cs="Arial" w:eastAsia="Arial" w:hAnsi="Arial"/>
          <w:sz w:val="22"/>
          <w:szCs w:val="22"/>
          <w:rtl w:val="0"/>
        </w:rPr>
        <w:t xml:space="preserve">2.1 Mission</w:t>
        <w:tab/>
        <w:t xml:space="preserve">4</w:t>
      </w:r>
      <w:r>
        <w:rPr>
          <w:rtl w:val="0"/>
        </w:rPr>
      </w:r>
    </w:p>
    <w:p w:rsidR="00000000" w:rsidDel="00000000" w:rsidP="00000000" w:rsidRDefault="00000000" w:rsidRPr="00000000" w14:paraId="0000000D">
      <w:pPr>
        <w:tabs>
          <w:tab w:val="right" w:leader="none" w:pos="9360"/>
        </w:tabs>
        <w:spacing w:after="60" w:lineRule="auto"/>
        <w:ind w:left="360" w:firstLine="0"/>
        <w:rPr/>
      </w:pPr>
      <w:r>
        <w:rPr>
          <w:rFonts w:ascii="Arial" w:cs="Arial" w:eastAsia="Arial" w:hAnsi="Arial"/>
          <w:sz w:val="22"/>
          <w:szCs w:val="22"/>
          <w:rtl w:val="0"/>
        </w:rPr>
        <w:t xml:space="preserve">2.2 The Three-Pillar Structure</w:t>
        <w:tab/>
        <w:t xml:space="preserve">4</w:t>
      </w:r>
      <w:r>
        <w:rPr>
          <w:rtl w:val="0"/>
        </w:rPr>
      </w:r>
    </w:p>
    <w:p w:rsidR="00000000" w:rsidDel="00000000" w:rsidP="00000000" w:rsidRDefault="00000000" w:rsidRPr="00000000" w14:paraId="0000000E">
      <w:pPr>
        <w:tabs>
          <w:tab w:val="right" w:leader="none" w:pos="9360"/>
        </w:tabs>
        <w:spacing w:after="60" w:lineRule="auto"/>
        <w:ind w:left="360" w:firstLine="0"/>
        <w:rPr/>
      </w:pPr>
      <w:r>
        <w:rPr>
          <w:rFonts w:ascii="Arial" w:cs="Arial" w:eastAsia="Arial" w:hAnsi="Arial"/>
          <w:sz w:val="22"/>
          <w:szCs w:val="22"/>
          <w:rtl w:val="0"/>
        </w:rPr>
        <w:t xml:space="preserve">2.3 The Golden Veto</w:t>
        <w:tab/>
        <w:t xml:space="preserve">4</w:t>
      </w:r>
      <w:r>
        <w:rPr>
          <w:rtl w:val="0"/>
        </w:rPr>
      </w:r>
    </w:p>
    <w:p w:rsidR="00000000" w:rsidDel="00000000" w:rsidP="00000000" w:rsidRDefault="00000000" w:rsidRPr="00000000" w14:paraId="0000000F">
      <w:pPr>
        <w:tabs>
          <w:tab w:val="right" w:leader="none" w:pos="9360"/>
        </w:tabs>
        <w:spacing w:after="120" w:lineRule="auto"/>
        <w:ind w:left="360" w:firstLine="0"/>
        <w:rPr/>
      </w:pPr>
      <w:r>
        <w:rPr>
          <w:rFonts w:ascii="Arial" w:cs="Arial" w:eastAsia="Arial" w:hAnsi="Arial"/>
          <w:sz w:val="22"/>
          <w:szCs w:val="22"/>
          <w:rtl w:val="0"/>
        </w:rPr>
        <w:t xml:space="preserve">2.4 Transition Pathway</w:t>
        <w:tab/>
        <w:t xml:space="preserve">4</w:t>
      </w:r>
      <w:r>
        <w:rPr>
          <w:rtl w:val="0"/>
        </w:rPr>
      </w:r>
    </w:p>
    <w:p w:rsidR="00000000" w:rsidDel="00000000" w:rsidP="00000000" w:rsidRDefault="00000000" w:rsidRPr="00000000" w14:paraId="00000010">
      <w:pPr>
        <w:tabs>
          <w:tab w:val="right" w:leader="none" w:pos="9360"/>
        </w:tabs>
        <w:spacing w:after="120" w:lineRule="auto"/>
        <w:rPr/>
      </w:pPr>
      <w:r>
        <w:rPr>
          <w:rFonts w:ascii="Arial" w:cs="Arial" w:eastAsia="Arial" w:hAnsi="Arial"/>
          <w:b w:val="1"/>
          <w:bCs w:val="1"/>
          <w:sz w:val="22"/>
          <w:szCs w:val="22"/>
          <w:rtl w:val="0"/>
        </w:rPr>
        <w:t xml:space="preserve">3. Programs and Services</w:t>
      </w:r>
      <w:r>
        <w:rPr>
          <w:rFonts w:ascii="Arial" w:cs="Arial" w:eastAsia="Arial" w:hAnsi="Arial"/>
          <w:sz w:val="22"/>
          <w:szCs w:val="22"/>
          <w:rtl w:val="0"/>
        </w:rPr>
        <w:tab/>
        <w:t xml:space="preserve">5</w:t>
      </w:r>
      <w:r>
        <w:rPr>
          <w:rtl w:val="0"/>
        </w:rPr>
      </w:r>
    </w:p>
    <w:p w:rsidR="00000000" w:rsidDel="00000000" w:rsidP="00000000" w:rsidRDefault="00000000" w:rsidRPr="00000000" w14:paraId="00000011">
      <w:pPr>
        <w:tabs>
          <w:tab w:val="right" w:leader="none" w:pos="9360"/>
        </w:tabs>
        <w:spacing w:after="60" w:lineRule="auto"/>
        <w:ind w:left="360" w:firstLine="0"/>
        <w:rPr/>
      </w:pPr>
      <w:r>
        <w:rPr>
          <w:rFonts w:ascii="Arial" w:cs="Arial" w:eastAsia="Arial" w:hAnsi="Arial"/>
          <w:sz w:val="22"/>
          <w:szCs w:val="22"/>
          <w:rtl w:val="0"/>
        </w:rPr>
        <w:t xml:space="preserve">3.1 RESPECT Platform Development and Operations</w:t>
        <w:tab/>
        <w:t xml:space="preserve">5</w:t>
      </w:r>
      <w:r>
        <w:rPr>
          <w:rtl w:val="0"/>
        </w:rPr>
      </w:r>
    </w:p>
    <w:p w:rsidR="00000000" w:rsidDel="00000000" w:rsidP="00000000" w:rsidRDefault="00000000" w:rsidRPr="00000000" w14:paraId="00000012">
      <w:pPr>
        <w:tabs>
          <w:tab w:val="right" w:leader="none" w:pos="9360"/>
        </w:tabs>
        <w:spacing w:after="60" w:lineRule="auto"/>
        <w:ind w:left="360" w:firstLine="0"/>
        <w:rPr/>
      </w:pPr>
      <w:r>
        <w:rPr>
          <w:rFonts w:ascii="Arial" w:cs="Arial" w:eastAsia="Arial" w:hAnsi="Arial"/>
          <w:sz w:val="22"/>
          <w:szCs w:val="22"/>
          <w:rtl w:val="0"/>
        </w:rPr>
        <w:t xml:space="preserve">3.2 Trademark Ownership and Enforcement</w:t>
        <w:tab/>
        <w:t xml:space="preserve">5</w:t>
      </w:r>
      <w:r>
        <w:rPr>
          <w:rtl w:val="0"/>
        </w:rPr>
      </w:r>
    </w:p>
    <w:p w:rsidR="00000000" w:rsidDel="00000000" w:rsidP="00000000" w:rsidRDefault="00000000" w:rsidRPr="00000000" w14:paraId="00000013">
      <w:pPr>
        <w:tabs>
          <w:tab w:val="right" w:leader="none" w:pos="9360"/>
        </w:tabs>
        <w:spacing w:after="60" w:lineRule="auto"/>
        <w:ind w:left="360" w:firstLine="0"/>
        <w:rPr/>
      </w:pPr>
      <w:r>
        <w:rPr>
          <w:rFonts w:ascii="Arial" w:cs="Arial" w:eastAsia="Arial" w:hAnsi="Arial"/>
          <w:sz w:val="22"/>
          <w:szCs w:val="22"/>
          <w:rtl w:val="0"/>
        </w:rPr>
        <w:t xml:space="preserve">3.3 SpoDit Governance</w:t>
        <w:tab/>
        <w:t xml:space="preserve">5</w:t>
      </w:r>
      <w:r>
        <w:rPr>
          <w:rtl w:val="0"/>
        </w:rPr>
      </w:r>
    </w:p>
    <w:p w:rsidR="00000000" w:rsidDel="00000000" w:rsidP="00000000" w:rsidRDefault="00000000" w:rsidRPr="00000000" w14:paraId="00000014">
      <w:pPr>
        <w:tabs>
          <w:tab w:val="right" w:leader="none" w:pos="9360"/>
        </w:tabs>
        <w:spacing w:after="60" w:lineRule="auto"/>
        <w:ind w:left="360" w:firstLine="0"/>
        <w:rPr/>
      </w:pPr>
      <w:r>
        <w:rPr>
          <w:rFonts w:ascii="Arial" w:cs="Arial" w:eastAsia="Arial" w:hAnsi="Arial"/>
          <w:sz w:val="22"/>
          <w:szCs w:val="22"/>
          <w:rtl w:val="0"/>
        </w:rPr>
        <w:t xml:space="preserve">3.4 Ecosystem Governance and Institutional Incubation</w:t>
        <w:tab/>
        <w:t xml:space="preserve">6</w:t>
      </w:r>
      <w:r>
        <w:rPr>
          <w:rtl w:val="0"/>
        </w:rPr>
      </w:r>
    </w:p>
    <w:p w:rsidR="00000000" w:rsidDel="00000000" w:rsidP="00000000" w:rsidRDefault="00000000" w:rsidRPr="00000000" w14:paraId="00000015">
      <w:pPr>
        <w:tabs>
          <w:tab w:val="right" w:leader="none" w:pos="9360"/>
        </w:tabs>
        <w:spacing w:after="60" w:lineRule="auto"/>
        <w:ind w:left="360" w:firstLine="0"/>
        <w:rPr/>
      </w:pPr>
      <w:r>
        <w:rPr>
          <w:rFonts w:ascii="Arial" w:cs="Arial" w:eastAsia="Arial" w:hAnsi="Arial"/>
          <w:sz w:val="22"/>
          <w:szCs w:val="22"/>
          <w:rtl w:val="0"/>
        </w:rPr>
        <w:t xml:space="preserve">3.5 Stakeholder Alignment and Ecosystem Acceleration</w:t>
        <w:tab/>
        <w:t xml:space="preserve">6</w:t>
      </w:r>
      <w:r>
        <w:rPr>
          <w:rtl w:val="0"/>
        </w:rPr>
      </w:r>
    </w:p>
    <w:p w:rsidR="00000000" w:rsidDel="00000000" w:rsidP="00000000" w:rsidRDefault="00000000" w:rsidRPr="00000000" w14:paraId="00000016">
      <w:pPr>
        <w:tabs>
          <w:tab w:val="right" w:leader="none" w:pos="9360"/>
        </w:tabs>
        <w:spacing w:after="120" w:lineRule="auto"/>
        <w:ind w:left="360" w:firstLine="0"/>
        <w:rPr/>
      </w:pPr>
      <w:r>
        <w:rPr>
          <w:rFonts w:ascii="Arial" w:cs="Arial" w:eastAsia="Arial" w:hAnsi="Arial"/>
          <w:sz w:val="22"/>
          <w:szCs w:val="22"/>
          <w:rtl w:val="0"/>
        </w:rPr>
        <w:t xml:space="preserve">3.6 Foundation Operations</w:t>
        <w:tab/>
        <w:t xml:space="preserve">7</w:t>
      </w:r>
      <w:r>
        <w:rPr>
          <w:rtl w:val="0"/>
        </w:rPr>
      </w:r>
    </w:p>
    <w:p w:rsidR="00000000" w:rsidDel="00000000" w:rsidP="00000000" w:rsidRDefault="00000000" w:rsidRPr="00000000" w14:paraId="00000017">
      <w:pPr>
        <w:tabs>
          <w:tab w:val="right" w:leader="none" w:pos="9360"/>
        </w:tabs>
        <w:spacing w:after="120" w:lineRule="auto"/>
        <w:rPr/>
      </w:pPr>
      <w:r>
        <w:rPr>
          <w:rFonts w:ascii="Arial" w:cs="Arial" w:eastAsia="Arial" w:hAnsi="Arial"/>
          <w:b w:val="1"/>
          <w:bCs w:val="1"/>
          <w:sz w:val="22"/>
          <w:szCs w:val="22"/>
          <w:rtl w:val="0"/>
        </w:rPr>
        <w:t xml:space="preserve">4. Revenue Model</w:t>
      </w:r>
      <w:r>
        <w:rPr>
          <w:rFonts w:ascii="Arial" w:cs="Arial" w:eastAsia="Arial" w:hAnsi="Arial"/>
          <w:sz w:val="22"/>
          <w:szCs w:val="22"/>
          <w:rtl w:val="0"/>
        </w:rPr>
        <w:tab/>
        <w:t xml:space="preserve">8</w:t>
      </w:r>
      <w:r>
        <w:rPr>
          <w:rtl w:val="0"/>
        </w:rPr>
      </w:r>
    </w:p>
    <w:p w:rsidR="00000000" w:rsidDel="00000000" w:rsidP="00000000" w:rsidRDefault="00000000" w:rsidRPr="00000000" w14:paraId="00000018">
      <w:pPr>
        <w:tabs>
          <w:tab w:val="right" w:leader="none" w:pos="9360"/>
        </w:tabs>
        <w:spacing w:after="60" w:lineRule="auto"/>
        <w:ind w:left="360" w:firstLine="0"/>
        <w:rPr/>
      </w:pPr>
      <w:r>
        <w:rPr>
          <w:rFonts w:ascii="Arial" w:cs="Arial" w:eastAsia="Arial" w:hAnsi="Arial"/>
          <w:sz w:val="22"/>
          <w:szCs w:val="22"/>
          <w:rtl w:val="0"/>
        </w:rPr>
        <w:t xml:space="preserve">4.1 Revenue Streams</w:t>
        <w:tab/>
        <w:t xml:space="preserve">8</w:t>
      </w:r>
      <w:r>
        <w:rPr>
          <w:rtl w:val="0"/>
        </w:rPr>
      </w:r>
    </w:p>
    <w:p w:rsidR="00000000" w:rsidDel="00000000" w:rsidP="00000000" w:rsidRDefault="00000000" w:rsidRPr="00000000" w14:paraId="00000019">
      <w:pPr>
        <w:tabs>
          <w:tab w:val="right" w:leader="none" w:pos="9360"/>
        </w:tabs>
        <w:spacing w:after="60" w:lineRule="auto"/>
        <w:ind w:left="360" w:firstLine="0"/>
        <w:rPr/>
      </w:pPr>
      <w:r>
        <w:rPr>
          <w:rFonts w:ascii="Arial" w:cs="Arial" w:eastAsia="Arial" w:hAnsi="Arial"/>
          <w:sz w:val="22"/>
          <w:szCs w:val="22"/>
          <w:rtl w:val="0"/>
        </w:rPr>
        <w:t xml:space="preserve">4.2 Platform Funding Transition</w:t>
        <w:tab/>
        <w:t xml:space="preserve">8</w:t>
      </w:r>
      <w:r>
        <w:rPr>
          <w:rtl w:val="0"/>
        </w:rPr>
      </w:r>
    </w:p>
    <w:p w:rsidR="00000000" w:rsidDel="00000000" w:rsidP="00000000" w:rsidRDefault="00000000" w:rsidRPr="00000000" w14:paraId="0000001A">
      <w:pPr>
        <w:tabs>
          <w:tab w:val="right" w:leader="none" w:pos="9360"/>
        </w:tabs>
        <w:spacing w:after="60" w:lineRule="auto"/>
        <w:ind w:left="360" w:firstLine="0"/>
        <w:rPr/>
      </w:pPr>
      <w:r>
        <w:rPr>
          <w:rFonts w:ascii="Arial" w:cs="Arial" w:eastAsia="Arial" w:hAnsi="Arial"/>
          <w:sz w:val="22"/>
          <w:szCs w:val="22"/>
          <w:rtl w:val="0"/>
        </w:rPr>
        <w:t xml:space="preserve">4.3 The Asset-Light Model</w:t>
        <w:tab/>
        <w:t xml:space="preserve">9</w:t>
      </w:r>
      <w:r>
        <w:rPr>
          <w:rtl w:val="0"/>
        </w:rPr>
      </w:r>
    </w:p>
    <w:p w:rsidR="00000000" w:rsidDel="00000000" w:rsidP="00000000" w:rsidRDefault="00000000" w:rsidRPr="00000000" w14:paraId="0000001B">
      <w:pPr>
        <w:tabs>
          <w:tab w:val="right" w:leader="none" w:pos="9360"/>
        </w:tabs>
        <w:spacing w:after="120" w:lineRule="auto"/>
        <w:ind w:left="360" w:firstLine="0"/>
        <w:rPr/>
      </w:pPr>
      <w:r>
        <w:rPr>
          <w:rFonts w:ascii="Arial" w:cs="Arial" w:eastAsia="Arial" w:hAnsi="Arial"/>
          <w:sz w:val="22"/>
          <w:szCs w:val="22"/>
          <w:rtl w:val="0"/>
        </w:rPr>
        <w:t xml:space="preserve">4.4 Ecosystem Fund (Indirect Revenue)</w:t>
        <w:tab/>
        <w:t xml:space="preserve">9</w:t>
      </w:r>
      <w:r>
        <w:rPr>
          <w:rtl w:val="0"/>
        </w:rPr>
      </w:r>
    </w:p>
    <w:p w:rsidR="00000000" w:rsidDel="00000000" w:rsidP="00000000" w:rsidRDefault="00000000" w:rsidRPr="00000000" w14:paraId="0000001C">
      <w:pPr>
        <w:tabs>
          <w:tab w:val="right" w:leader="none" w:pos="9360"/>
        </w:tabs>
        <w:spacing w:after="120" w:lineRule="auto"/>
        <w:rPr/>
      </w:pPr>
      <w:r>
        <w:rPr>
          <w:rFonts w:ascii="Arial" w:cs="Arial" w:eastAsia="Arial" w:hAnsi="Arial"/>
          <w:b w:val="1"/>
          <w:bCs w:val="1"/>
          <w:sz w:val="22"/>
          <w:szCs w:val="22"/>
          <w:rtl w:val="0"/>
        </w:rPr>
        <w:t xml:space="preserve">5. Financial Projections</w:t>
      </w:r>
      <w:r>
        <w:rPr>
          <w:rFonts w:ascii="Arial" w:cs="Arial" w:eastAsia="Arial" w:hAnsi="Arial"/>
          <w:sz w:val="22"/>
          <w:szCs w:val="22"/>
          <w:rtl w:val="0"/>
        </w:rPr>
        <w:tab/>
        <w:t xml:space="preserve">10</w:t>
      </w:r>
      <w:r>
        <w:rPr>
          <w:rtl w:val="0"/>
        </w:rPr>
      </w:r>
    </w:p>
    <w:p w:rsidR="00000000" w:rsidDel="00000000" w:rsidP="00000000" w:rsidRDefault="00000000" w:rsidRPr="00000000" w14:paraId="0000001D">
      <w:pPr>
        <w:tabs>
          <w:tab w:val="right" w:leader="none" w:pos="9360"/>
        </w:tabs>
        <w:spacing w:after="60" w:lineRule="auto"/>
        <w:ind w:left="360" w:firstLine="0"/>
        <w:rPr/>
      </w:pPr>
      <w:r>
        <w:rPr>
          <w:rFonts w:ascii="Arial" w:cs="Arial" w:eastAsia="Arial" w:hAnsi="Arial"/>
          <w:sz w:val="22"/>
          <w:szCs w:val="22"/>
          <w:rtl w:val="0"/>
        </w:rPr>
        <w:t xml:space="preserve">5.1 V&amp;P_Core Budget Overview</w:t>
        <w:tab/>
        <w:t xml:space="preserve">10</w:t>
      </w:r>
      <w:r>
        <w:rPr>
          <w:rtl w:val="0"/>
        </w:rPr>
      </w:r>
    </w:p>
    <w:p w:rsidR="00000000" w:rsidDel="00000000" w:rsidP="00000000" w:rsidRDefault="00000000" w:rsidRPr="00000000" w14:paraId="0000001E">
      <w:pPr>
        <w:tabs>
          <w:tab w:val="right" w:leader="none" w:pos="9360"/>
        </w:tabs>
        <w:spacing w:after="60" w:lineRule="auto"/>
        <w:ind w:left="360" w:firstLine="0"/>
        <w:rPr/>
      </w:pPr>
      <w:r>
        <w:rPr>
          <w:rFonts w:ascii="Arial" w:cs="Arial" w:eastAsia="Arial" w:hAnsi="Arial"/>
          <w:sz w:val="22"/>
          <w:szCs w:val="22"/>
          <w:rtl w:val="0"/>
        </w:rPr>
        <w:t xml:space="preserve">5.2 Tranche Structure</w:t>
        <w:tab/>
        <w:t xml:space="preserve">10</w:t>
      </w:r>
      <w:r>
        <w:rPr>
          <w:rtl w:val="0"/>
        </w:rPr>
      </w:r>
    </w:p>
    <w:p w:rsidR="00000000" w:rsidDel="00000000" w:rsidP="00000000" w:rsidRDefault="00000000" w:rsidRPr="00000000" w14:paraId="0000001F">
      <w:pPr>
        <w:tabs>
          <w:tab w:val="right" w:leader="none" w:pos="9360"/>
        </w:tabs>
        <w:spacing w:after="120" w:lineRule="auto"/>
        <w:ind w:left="360" w:firstLine="0"/>
        <w:rPr/>
      </w:pPr>
      <w:r>
        <w:rPr>
          <w:rFonts w:ascii="Arial" w:cs="Arial" w:eastAsia="Arial" w:hAnsi="Arial"/>
          <w:sz w:val="22"/>
          <w:szCs w:val="22"/>
          <w:rtl w:val="0"/>
        </w:rPr>
        <w:t xml:space="preserve">5.3 Sustainability Crossover</w:t>
        <w:tab/>
        <w:t xml:space="preserve">11</w:t>
      </w:r>
      <w:r>
        <w:rPr>
          <w:rtl w:val="0"/>
        </w:rPr>
      </w:r>
    </w:p>
    <w:p w:rsidR="00000000" w:rsidDel="00000000" w:rsidP="00000000" w:rsidRDefault="00000000" w:rsidRPr="00000000" w14:paraId="00000020">
      <w:pPr>
        <w:tabs>
          <w:tab w:val="right" w:leader="none" w:pos="9360"/>
        </w:tabs>
        <w:spacing w:after="120" w:lineRule="auto"/>
        <w:rPr/>
      </w:pPr>
      <w:r>
        <w:rPr>
          <w:rFonts w:ascii="Arial" w:cs="Arial" w:eastAsia="Arial" w:hAnsi="Arial"/>
          <w:b w:val="1"/>
          <w:bCs w:val="1"/>
          <w:sz w:val="22"/>
          <w:szCs w:val="22"/>
          <w:rtl w:val="0"/>
        </w:rPr>
        <w:t xml:space="preserve">6. Staffing and Operations</w:t>
      </w:r>
      <w:r>
        <w:rPr>
          <w:rFonts w:ascii="Arial" w:cs="Arial" w:eastAsia="Arial" w:hAnsi="Arial"/>
          <w:sz w:val="22"/>
          <w:szCs w:val="22"/>
          <w:rtl w:val="0"/>
        </w:rPr>
        <w:tab/>
        <w:t xml:space="preserve">12</w:t>
      </w:r>
      <w:r>
        <w:rPr>
          <w:rtl w:val="0"/>
        </w:rPr>
      </w:r>
    </w:p>
    <w:p w:rsidR="00000000" w:rsidDel="00000000" w:rsidP="00000000" w:rsidRDefault="00000000" w:rsidRPr="00000000" w14:paraId="00000021">
      <w:pPr>
        <w:tabs>
          <w:tab w:val="right" w:leader="none" w:pos="9360"/>
        </w:tabs>
        <w:spacing w:after="60" w:lineRule="auto"/>
        <w:ind w:left="360" w:firstLine="0"/>
        <w:rPr/>
      </w:pPr>
      <w:r>
        <w:rPr>
          <w:rFonts w:ascii="Arial" w:cs="Arial" w:eastAsia="Arial" w:hAnsi="Arial"/>
          <w:sz w:val="22"/>
          <w:szCs w:val="22"/>
          <w:rtl w:val="0"/>
        </w:rPr>
        <w:t xml:space="preserve">6.1 Organizational Structure</w:t>
        <w:tab/>
        <w:t xml:space="preserve">12</w:t>
      </w:r>
      <w:r>
        <w:rPr>
          <w:rtl w:val="0"/>
        </w:rPr>
      </w:r>
    </w:p>
    <w:p w:rsidR="00000000" w:rsidDel="00000000" w:rsidP="00000000" w:rsidRDefault="00000000" w:rsidRPr="00000000" w14:paraId="00000022">
      <w:pPr>
        <w:tabs>
          <w:tab w:val="right" w:leader="none" w:pos="9360"/>
        </w:tabs>
        <w:spacing w:after="120" w:lineRule="auto"/>
        <w:ind w:left="360" w:firstLine="0"/>
        <w:rPr/>
      </w:pPr>
      <w:r>
        <w:rPr>
          <w:rFonts w:ascii="Arial" w:cs="Arial" w:eastAsia="Arial" w:hAnsi="Arial"/>
          <w:sz w:val="22"/>
          <w:szCs w:val="22"/>
          <w:rtl w:val="0"/>
        </w:rPr>
        <w:t xml:space="preserve">6.2 Comparable Organizations</w:t>
        <w:tab/>
        <w:t xml:space="preserve">12</w:t>
      </w:r>
      <w:r>
        <w:rPr>
          <w:rtl w:val="0"/>
        </w:rPr>
      </w:r>
    </w:p>
    <w:p w:rsidR="00000000" w:rsidDel="00000000" w:rsidP="00000000" w:rsidRDefault="00000000" w:rsidRPr="00000000" w14:paraId="00000023">
      <w:pPr>
        <w:tabs>
          <w:tab w:val="right" w:leader="none" w:pos="9360"/>
        </w:tabs>
        <w:spacing w:after="120" w:lineRule="auto"/>
        <w:rPr/>
      </w:pPr>
      <w:r>
        <w:rPr>
          <w:rFonts w:ascii="Arial" w:cs="Arial" w:eastAsia="Arial" w:hAnsi="Arial"/>
          <w:b w:val="1"/>
          <w:bCs w:val="1"/>
          <w:sz w:val="22"/>
          <w:szCs w:val="22"/>
          <w:rtl w:val="0"/>
        </w:rPr>
        <w:t xml:space="preserve">7. Scope Boundaries</w:t>
      </w:r>
      <w:r>
        <w:rPr>
          <w:rFonts w:ascii="Arial" w:cs="Arial" w:eastAsia="Arial" w:hAnsi="Arial"/>
          <w:sz w:val="22"/>
          <w:szCs w:val="22"/>
          <w:rtl w:val="0"/>
        </w:rPr>
        <w:tab/>
        <w:t xml:space="preserve">13</w:t>
      </w:r>
      <w:r>
        <w:rPr>
          <w:rtl w:val="0"/>
        </w:rPr>
      </w:r>
    </w:p>
    <w:p w:rsidR="00000000" w:rsidDel="00000000" w:rsidP="00000000" w:rsidRDefault="00000000" w:rsidRPr="00000000" w14:paraId="00000024">
      <w:pPr>
        <w:tabs>
          <w:tab w:val="right" w:leader="none" w:pos="9360"/>
        </w:tabs>
        <w:spacing w:after="120" w:lineRule="auto"/>
        <w:rPr/>
      </w:pPr>
      <w:r>
        <w:rPr>
          <w:rFonts w:ascii="Arial" w:cs="Arial" w:eastAsia="Arial" w:hAnsi="Arial"/>
          <w:b w:val="1"/>
          <w:bCs w:val="1"/>
          <w:sz w:val="22"/>
          <w:szCs w:val="22"/>
          <w:rtl w:val="0"/>
        </w:rPr>
        <w:t xml:space="preserve">8. Risk and Mitigation</w:t>
      </w:r>
      <w:r>
        <w:rPr>
          <w:rFonts w:ascii="Arial" w:cs="Arial" w:eastAsia="Arial" w:hAnsi="Arial"/>
          <w:sz w:val="22"/>
          <w:szCs w:val="22"/>
          <w:rtl w:val="0"/>
        </w:rPr>
        <w:tab/>
        <w:t xml:space="preserve">14</w:t>
      </w:r>
      <w:r>
        <w:rPr>
          <w:rtl w:val="0"/>
        </w:rPr>
      </w:r>
    </w:p>
    <w:p w:rsidR="00000000" w:rsidDel="00000000" w:rsidP="00000000" w:rsidRDefault="00000000" w:rsidRPr="00000000" w14:paraId="00000025">
      <w:pPr>
        <w:tabs>
          <w:tab w:val="right" w:leader="none" w:pos="9360"/>
        </w:tabs>
        <w:spacing w:after="120" w:lineRule="auto"/>
        <w:rPr/>
      </w:pPr>
      <w:r>
        <w:rPr>
          <w:rFonts w:ascii="Arial" w:cs="Arial" w:eastAsia="Arial" w:hAnsi="Arial"/>
          <w:b w:val="1"/>
          <w:bCs w:val="1"/>
          <w:sz w:val="22"/>
          <w:szCs w:val="22"/>
          <w:rtl w:val="0"/>
        </w:rPr>
        <w:t xml:space="preserve">9. Strategic Milestones</w:t>
      </w:r>
      <w:r>
        <w:rPr>
          <w:rFonts w:ascii="Arial" w:cs="Arial" w:eastAsia="Arial" w:hAnsi="Arial"/>
          <w:sz w:val="22"/>
          <w:szCs w:val="22"/>
          <w:rtl w:val="0"/>
        </w:rPr>
        <w:tab/>
        <w:t xml:space="preserve">15</w:t>
      </w:r>
      <w:r>
        <w:rPr>
          <w:rtl w:val="0"/>
        </w:rPr>
      </w:r>
    </w:p>
    <w:p w:rsidR="00000000" w:rsidDel="00000000" w:rsidP="00000000" w:rsidRDefault="00000000" w:rsidRPr="00000000" w14:paraId="00000026">
      <w:pPr>
        <w:tabs>
          <w:tab w:val="right" w:leader="none" w:pos="9360"/>
        </w:tabs>
        <w:spacing w:after="120" w:lineRule="auto"/>
        <w:rPr/>
      </w:pPr>
      <w:r>
        <w:rPr>
          <w:rFonts w:ascii="Arial" w:cs="Arial" w:eastAsia="Arial" w:hAnsi="Arial"/>
          <w:b w:val="1"/>
          <w:bCs w:val="1"/>
          <w:sz w:val="22"/>
          <w:szCs w:val="22"/>
          <w:rtl w:val="0"/>
        </w:rPr>
        <w:t xml:space="preserve">10. Conclusion</w:t>
      </w:r>
      <w:r>
        <w:rPr>
          <w:rFonts w:ascii="Arial" w:cs="Arial" w:eastAsia="Arial" w:hAnsi="Arial"/>
          <w:sz w:val="22"/>
          <w:szCs w:val="22"/>
          <w:rtl w:val="0"/>
        </w:rPr>
        <w:tab/>
        <w:t xml:space="preserve">16</w:t>
      </w:r>
      <w:r>
        <w:rPr>
          <w:rtl w:val="0"/>
        </w:rPr>
      </w:r>
    </w:p>
    <w:p w:rsidR="00000000" w:rsidDel="00000000" w:rsidP="00000000" w:rsidRDefault="00000000" w:rsidRPr="00000000" w14:paraId="00000027">
      <w:pPr>
        <w:rPr/>
      </w:pPr>
      <w:r>
        <w:br w:type="page"/>
      </w:r>
      <w:r>
        <w:rPr>
          <w:rtl w:val="0"/>
        </w:rPr>
      </w:r>
    </w:p>
    <w:p w:rsidR="00000000" w:rsidDel="00000000" w:rsidP="00000000" w:rsidRDefault="00000000" w:rsidRPr="00000000" w14:paraId="00000028">
      <w:pPr>
        <w:pStyle w:val="Heading1"/>
        <w:spacing w:after="200" w:before="360" w:lineRule="auto"/>
        <w:rPr/>
      </w:pPr>
      <w:r>
        <w:rPr>
          <w:rFonts w:ascii="Arial" w:cs="Arial" w:eastAsia="Arial" w:hAnsi="Arial"/>
          <w:b w:val="1"/>
          <w:bCs w:val="1"/>
          <w:color w:val="1f3864"/>
          <w:sz w:val="32"/>
          <w:szCs w:val="32"/>
          <w:rtl w:val="0"/>
        </w:rPr>
        <w:t xml:space="preserve">1. Executive Summary</w:t>
      </w:r>
      <w:r>
        <w:rPr>
          <w:rtl w:val="0"/>
        </w:rPr>
      </w:r>
    </w:p>
    <w:p w:rsidR="00000000" w:rsidDel="00000000" w:rsidP="00000000" w:rsidRDefault="00000000" w:rsidRPr="00000000" w14:paraId="00000029">
      <w:pPr>
        <w:spacing w:after="160" w:lineRule="auto"/>
        <w:rPr/>
      </w:pPr>
      <w:r>
        <w:rPr>
          <w:rFonts w:ascii="Arial" w:cs="Arial" w:eastAsia="Arial" w:hAnsi="Arial"/>
          <w:sz w:val="22"/>
          <w:szCs w:val="22"/>
          <w:rtl w:val="0"/>
        </w:rPr>
        <w:t xml:space="preserve">The Spix Foundation is a US-based not-for-profit public charity that serves as the </w:t>
      </w:r>
      <w:r>
        <w:rPr>
          <w:rFonts w:ascii="Arial" w:cs="Arial" w:eastAsia="Arial" w:hAnsi="Arial"/>
          <w:b w:val="1"/>
          <w:bCs w:val="1"/>
          <w:sz w:val="22"/>
          <w:szCs w:val="22"/>
          <w:rtl w:val="0"/>
        </w:rPr>
        <w:t xml:space="preserve">technical steward</w:t>
      </w:r>
      <w:r>
        <w:rPr>
          <w:rFonts w:ascii="Arial" w:cs="Arial" w:eastAsia="Arial" w:hAnsi="Arial"/>
          <w:sz w:val="22"/>
          <w:szCs w:val="22"/>
          <w:rtl w:val="0"/>
        </w:rPr>
        <w:t xml:space="preserve"> of the RESPECT™ Platform and Africa’s Digital Public Infrastructure for Education (DPI-Ed). This business plan covers the seven Programme Years of the Africa’s EdTech Breakthrough Project, during which the Foundation will build the RESPECT Platform, establish the ecosystem governance infrastructure, and transition to full financial self-sufficiency through trademark-based revenue.</w:t>
      </w:r>
      <w:r>
        <w:rPr>
          <w:rtl w:val="0"/>
        </w:rPr>
      </w:r>
    </w:p>
    <w:p w:rsidR="00000000" w:rsidDel="00000000" w:rsidP="00000000" w:rsidRDefault="00000000" w:rsidRPr="00000000" w14:paraId="0000002A">
      <w:pPr>
        <w:spacing w:after="160" w:lineRule="auto"/>
        <w:rPr/>
      </w:pPr>
      <w:r>
        <w:rPr>
          <w:rFonts w:ascii="Arial" w:cs="Arial" w:eastAsia="Arial" w:hAnsi="Arial"/>
          <w:sz w:val="22"/>
          <w:szCs w:val="22"/>
          <w:rtl w:val="0"/>
        </w:rPr>
        <w:t xml:space="preserve">The Foundation operates within a </w:t>
      </w:r>
      <w:r>
        <w:rPr>
          <w:rFonts w:ascii="Arial" w:cs="Arial" w:eastAsia="Arial" w:hAnsi="Arial"/>
          <w:b w:val="1"/>
          <w:bCs w:val="1"/>
          <w:sz w:val="22"/>
          <w:szCs w:val="22"/>
          <w:rtl w:val="0"/>
        </w:rPr>
        <w:t xml:space="preserve">three-pillar governance structure</w:t>
      </w:r>
      <w:r>
        <w:rPr>
          <w:rFonts w:ascii="Arial" w:cs="Arial" w:eastAsia="Arial" w:hAnsi="Arial"/>
          <w:sz w:val="22"/>
          <w:szCs w:val="22"/>
          <w:rtl w:val="0"/>
        </w:rPr>
        <w:t xml:space="preserve"> that separates technical stewardship (Spix Foundation), political leadership (AUDA-NEPAD), and financial management (Fiduciary Trustee). This separation ensures that no single entity controls technology, money, and politics simultaneously—a design principle drawn from decades of successful FOSS governance and development-finance best practice.</w:t>
      </w:r>
      <w:r>
        <w:rPr>
          <w:rtl w:val="0"/>
        </w:rPr>
      </w:r>
    </w:p>
    <w:p w:rsidR="00000000" w:rsidDel="00000000" w:rsidP="00000000" w:rsidRDefault="00000000" w:rsidRPr="00000000" w14:paraId="0000002B">
      <w:pPr>
        <w:spacing w:after="160" w:lineRule="auto"/>
        <w:rPr/>
      </w:pPr>
      <w:r>
        <w:rPr>
          <w:rFonts w:ascii="Arial" w:cs="Arial" w:eastAsia="Arial" w:hAnsi="Arial"/>
          <w:sz w:val="22"/>
          <w:szCs w:val="22"/>
          <w:rtl w:val="0"/>
        </w:rPr>
        <w:t xml:space="preserve">The Spix Foundation’s management scope is deliberately narrow and specialized: platform stewardship, stakeholder alignment, trademark governance, SpoDit rule-setting, and institutional incubation. It does not manage country-level implementation, fund disbursement, political coordination, or any of the nine independently-governed Planet-Projects (see Essay 27, Sun and Planets Architecture). This focused scope is modeled on proven FOSS platform stewards—the Linux Foundation, the Apache Software Foundation, Moodle HQ—and on the asset-light architecture demonstrated by DHIS2/HISP in health.</w:t>
      </w:r>
      <w:r>
        <w:rPr>
          <w:rtl w:val="0"/>
        </w:rPr>
      </w:r>
    </w:p>
    <w:p w:rsidR="00000000" w:rsidDel="00000000" w:rsidP="00000000" w:rsidRDefault="00000000" w:rsidRPr="00000000" w14:paraId="0000002C">
      <w:pPr>
        <w:pStyle w:val="Heading2"/>
        <w:spacing w:after="160" w:before="280" w:lineRule="auto"/>
        <w:rPr/>
      </w:pPr>
      <w:r>
        <w:rPr>
          <w:rFonts w:ascii="Arial" w:cs="Arial" w:eastAsia="Arial" w:hAnsi="Arial"/>
          <w:b w:val="1"/>
          <w:bCs w:val="1"/>
          <w:color w:val="2f5496"/>
          <w:sz w:val="26"/>
          <w:szCs w:val="26"/>
          <w:rtl w:val="0"/>
        </w:rPr>
        <w:t xml:space="preserve">Financial Summary</w:t>
      </w:r>
      <w:r>
        <w:rPr>
          <w:rtl w:val="0"/>
        </w:rPr>
      </w:r>
    </w:p>
    <w:p w:rsidR="00000000" w:rsidDel="00000000" w:rsidP="00000000" w:rsidRDefault="00000000" w:rsidRPr="00000000" w14:paraId="0000002D">
      <w:pPr>
        <w:spacing w:after="160" w:lineRule="auto"/>
        <w:rPr/>
      </w:pPr>
      <w:r>
        <w:rPr>
          <w:rFonts w:ascii="Arial" w:cs="Arial" w:eastAsia="Arial" w:hAnsi="Arial"/>
          <w:color w:val="000000"/>
          <w:sz w:val="22"/>
          <w:szCs w:val="22"/>
          <w:rtl w:val="0"/>
        </w:rPr>
        <w:t xml:space="preserve">The Foundation’s financial trajectory follows a deliberate bridge-to-sustainability model:</w:t>
      </w:r>
      <w:r>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Pr>
          <w:rFonts w:ascii="Arial" w:cs="Arial" w:eastAsia="Arial" w:hAnsi="Arial"/>
          <w:b w:val="1"/>
          <w:bCs w:val="1"/>
          <w:i w:val="0"/>
          <w:iCs w:val="0"/>
          <w:smallCaps w:val="0"/>
          <w:strike w:val="0"/>
          <w:color w:val="000000"/>
          <w:sz w:val="22"/>
          <w:szCs w:val="22"/>
          <w:u w:val="none"/>
          <w:shd w:fill="auto" w:val="clear"/>
          <w:vertAlign w:val="baseline"/>
          <w:rtl w:val="0"/>
        </w:rPr>
        <w:t xml:space="preserve">Programme Start: </w:t>
      </w:r>
      <w:r>
        <w:rPr>
          <w:rFonts w:ascii="Arial" w:cs="Arial" w:eastAsia="Arial" w:hAnsi="Arial"/>
          <w:b w:val="0"/>
          <w:bCs w:val="0"/>
          <w:i w:val="0"/>
          <w:iCs w:val="0"/>
          <w:smallCaps w:val="0"/>
          <w:strike w:val="0"/>
          <w:color w:val="000000"/>
          <w:sz w:val="22"/>
          <w:szCs w:val="22"/>
          <w:u w:val="none"/>
          <w:shd w:fill="auto" w:val="clear"/>
          <w:vertAlign w:val="baseline"/>
          <w:rtl w:val="0"/>
        </w:rPr>
        <w:t xml:space="preserve">100% Development Partner funded (within V&amp;P_Core Sun-Project)</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Pr>
          <w:rFonts w:ascii="Arial" w:cs="Arial" w:eastAsia="Arial" w:hAnsi="Arial"/>
          <w:b w:val="1"/>
          <w:bCs w:val="1"/>
          <w:i w:val="0"/>
          <w:iCs w:val="0"/>
          <w:smallCaps w:val="0"/>
          <w:strike w:val="0"/>
          <w:color w:val="000000"/>
          <w:sz w:val="22"/>
          <w:szCs w:val="22"/>
          <w:u w:val="none"/>
          <w:shd w:fill="auto" w:val="clear"/>
          <w:vertAlign w:val="baseline"/>
          <w:rtl w:val="0"/>
        </w:rPr>
        <w:t xml:space="preserve">Programme End (Y7): </w:t>
      </w:r>
      <w:r>
        <w:rPr>
          <w:rFonts w:ascii="Arial" w:cs="Arial" w:eastAsia="Arial" w:hAnsi="Arial"/>
          <w:b w:val="0"/>
          <w:bCs w:val="0"/>
          <w:i w:val="0"/>
          <w:iCs w:val="0"/>
          <w:smallCaps w:val="0"/>
          <w:strike w:val="0"/>
          <w:color w:val="000000"/>
          <w:sz w:val="22"/>
          <w:szCs w:val="22"/>
          <w:u w:val="none"/>
          <w:shd w:fill="auto" w:val="clear"/>
          <w:vertAlign w:val="baseline"/>
          <w:rtl w:val="0"/>
        </w:rPr>
        <w:t xml:space="preserve">95% self-funded through trademark licensing and certification revenue</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Pr>
          <w:rFonts w:ascii="Arial" w:cs="Arial" w:eastAsia="Arial" w:hAnsi="Arial"/>
          <w:b w:val="1"/>
          <w:bCs w:val="1"/>
          <w:i w:val="0"/>
          <w:iCs w:val="0"/>
          <w:smallCaps w:val="0"/>
          <w:strike w:val="0"/>
          <w:color w:val="000000"/>
          <w:sz w:val="22"/>
          <w:szCs w:val="22"/>
          <w:u w:val="none"/>
          <w:shd w:fill="auto" w:val="clear"/>
          <w:vertAlign w:val="baseline"/>
          <w:rtl w:val="0"/>
        </w:rPr>
        <w:t xml:space="preserve">Platform operating cost at maturity: </w:t>
      </w:r>
      <w:r>
        <w:rPr>
          <w:rFonts w:ascii="Arial" w:cs="Arial" w:eastAsia="Arial" w:hAnsi="Arial"/>
          <w:b w:val="0"/>
          <w:bCs w:val="0"/>
          <w:i w:val="0"/>
          <w:iCs w:val="0"/>
          <w:smallCaps w:val="0"/>
          <w:strike w:val="0"/>
          <w:color w:val="000000"/>
          <w:sz w:val="22"/>
          <w:szCs w:val="22"/>
          <w:u w:val="none"/>
          <w:shd w:fill="auto" w:val="clear"/>
          <w:vertAlign w:val="baseline"/>
          <w:rtl w:val="0"/>
        </w:rPr>
        <w:t xml:space="preserve">~$25M per year (benchmarked against Moodle HQ ~$24M, DHIS2/HISP ~$23M, Axim/Open edX ~$25–30M)</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Pr>
          <w:rFonts w:ascii="Arial" w:cs="Arial" w:eastAsia="Arial" w:hAnsi="Arial"/>
          <w:b w:val="1"/>
          <w:bCs w:val="1"/>
          <w:i w:val="0"/>
          <w:iCs w:val="0"/>
          <w:smallCaps w:val="0"/>
          <w:strike w:val="0"/>
          <w:color w:val="000000"/>
          <w:sz w:val="22"/>
          <w:szCs w:val="22"/>
          <w:u w:val="none"/>
          <w:shd w:fill="auto" w:val="clear"/>
          <w:vertAlign w:val="baseline"/>
          <w:rtl w:val="0"/>
        </w:rPr>
        <w:t xml:space="preserve">Primary revenue streams: </w:t>
      </w:r>
      <w:r>
        <w:rPr>
          <w:rFonts w:ascii="Arial" w:cs="Arial" w:eastAsia="Arial" w:hAnsi="Arial"/>
          <w:b w:val="0"/>
          <w:bCs w:val="0"/>
          <w:i w:val="0"/>
          <w:iCs w:val="0"/>
          <w:smallCaps w:val="0"/>
          <w:strike w:val="0"/>
          <w:color w:val="000000"/>
          <w:sz w:val="22"/>
          <w:szCs w:val="22"/>
          <w:u w:val="none"/>
          <w:shd w:fill="auto" w:val="clear"/>
          <w:vertAlign w:val="baseline"/>
          <w:rtl w:val="0"/>
        </w:rPr>
        <w:t xml:space="preserve">RESPECT Certified Partners™ royalties, product developer certification fees, branded merchandise licensing, events/training/certification</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Pr>
          <w:rFonts w:ascii="Arial" w:cs="Arial" w:eastAsia="Arial" w:hAnsi="Arial"/>
          <w:b w:val="1"/>
          <w:bCs w:val="1"/>
          <w:i w:val="0"/>
          <w:iCs w:val="0"/>
          <w:smallCaps w:val="0"/>
          <w:strike w:val="0"/>
          <w:color w:val="000000"/>
          <w:sz w:val="22"/>
          <w:szCs w:val="22"/>
          <w:u w:val="none"/>
          <w:shd w:fill="auto" w:val="clear"/>
          <w:vertAlign w:val="baseline"/>
          <w:rtl w:val="0"/>
        </w:rPr>
        <w:t xml:space="preserve">Total V&amp;P_Core allocation: </w:t>
      </w:r>
      <w:r>
        <w:rPr>
          <w:rFonts w:ascii="Arial" w:cs="Arial" w:eastAsia="Arial" w:hAnsi="Arial"/>
          <w:b w:val="0"/>
          <w:bCs w:val="0"/>
          <w:i w:val="0"/>
          <w:iCs w:val="0"/>
          <w:smallCaps w:val="0"/>
          <w:strike w:val="0"/>
          <w:color w:val="000000"/>
          <w:sz w:val="22"/>
          <w:szCs w:val="22"/>
          <w:u w:val="none"/>
          <w:shd w:fill="auto" w:val="clear"/>
          <w:vertAlign w:val="baseline"/>
          <w:rtl w:val="0"/>
        </w:rPr>
        <w:t xml:space="preserve">~$173M across 7 Programme Years (includes platform development, ecosystem governance, institutional incubation, and Foundation operations)</w:t>
      </w:r>
    </w:p>
    <w:p w:rsidR="00000000" w:rsidDel="00000000" w:rsidP="00000000" w:rsidRDefault="00000000" w:rsidRPr="00000000" w14:paraId="00000033">
      <w:pPr>
        <w:rPr/>
      </w:pPr>
      <w:r>
        <w:br w:type="page"/>
      </w:r>
      <w:r>
        <w:rPr>
          <w:rtl w:val="0"/>
        </w:rPr>
      </w:r>
    </w:p>
    <w:p w:rsidR="00000000" w:rsidDel="00000000" w:rsidP="00000000" w:rsidRDefault="00000000" w:rsidRPr="00000000" w14:paraId="00000034">
      <w:pPr>
        <w:pStyle w:val="Heading1"/>
        <w:spacing w:after="200" w:before="360" w:lineRule="auto"/>
        <w:rPr/>
      </w:pPr>
      <w:r>
        <w:rPr>
          <w:rFonts w:ascii="Arial" w:cs="Arial" w:eastAsia="Arial" w:hAnsi="Arial"/>
          <w:b w:val="1"/>
          <w:bCs w:val="1"/>
          <w:color w:val="1f3864"/>
          <w:sz w:val="32"/>
          <w:szCs w:val="32"/>
          <w:rtl w:val="0"/>
        </w:rPr>
        <w:t xml:space="preserve">2. Mission and Governance</w:t>
      </w:r>
      <w:r>
        <w:rPr>
          <w:rtl w:val="0"/>
        </w:rPr>
      </w:r>
    </w:p>
    <w:p w:rsidR="00000000" w:rsidDel="00000000" w:rsidP="00000000" w:rsidRDefault="00000000" w:rsidRPr="00000000" w14:paraId="00000035">
      <w:pPr>
        <w:pStyle w:val="Heading2"/>
        <w:spacing w:after="160" w:before="280" w:lineRule="auto"/>
        <w:rPr/>
      </w:pPr>
      <w:r>
        <w:rPr>
          <w:rFonts w:ascii="Arial" w:cs="Arial" w:eastAsia="Arial" w:hAnsi="Arial"/>
          <w:b w:val="1"/>
          <w:bCs w:val="1"/>
          <w:color w:val="2f5496"/>
          <w:sz w:val="26"/>
          <w:szCs w:val="26"/>
          <w:rtl w:val="0"/>
        </w:rPr>
        <w:t xml:space="preserve">2.1 Mission</w:t>
      </w:r>
      <w:r>
        <w:rPr>
          <w:rtl w:val="0"/>
        </w:rPr>
      </w:r>
    </w:p>
    <w:p w:rsidR="00000000" w:rsidDel="00000000" w:rsidP="00000000" w:rsidRDefault="00000000" w:rsidRPr="00000000" w14:paraId="00000036">
      <w:pPr>
        <w:spacing w:after="160" w:lineRule="auto"/>
        <w:rPr/>
      </w:pPr>
      <w:r>
        <w:rPr>
          <w:rFonts w:ascii="Arial" w:cs="Arial" w:eastAsia="Arial" w:hAnsi="Arial"/>
          <w:color w:val="000000"/>
          <w:sz w:val="22"/>
          <w:szCs w:val="22"/>
          <w:rtl w:val="0"/>
        </w:rPr>
        <w:t xml:space="preserve">The Spix Foundation exists to steward the RESPECT™ Platform as Free and Open Source Software, enforce ecosystem quality through trademark governance, and ensure that Africa’s Digital Public Infrastructure for Education remains free, interoperable, and sovereign.</w:t>
      </w:r>
      <w:r>
        <w:rPr>
          <w:rtl w:val="0"/>
        </w:rPr>
      </w:r>
    </w:p>
    <w:p w:rsidR="00000000" w:rsidDel="00000000" w:rsidP="00000000" w:rsidRDefault="00000000" w:rsidRPr="00000000" w14:paraId="00000037">
      <w:pPr>
        <w:pStyle w:val="Heading2"/>
        <w:spacing w:after="160" w:before="280" w:lineRule="auto"/>
        <w:rPr/>
      </w:pPr>
      <w:r>
        <w:rPr>
          <w:rFonts w:ascii="Arial" w:cs="Arial" w:eastAsia="Arial" w:hAnsi="Arial"/>
          <w:b w:val="1"/>
          <w:bCs w:val="1"/>
          <w:color w:val="2f5496"/>
          <w:sz w:val="26"/>
          <w:szCs w:val="26"/>
          <w:rtl w:val="0"/>
        </w:rPr>
        <w:t xml:space="preserve">2.2 The Three-Pillar Structure</w:t>
      </w:r>
      <w:r>
        <w:rPr>
          <w:rtl w:val="0"/>
        </w:rPr>
      </w:r>
    </w:p>
    <w:p w:rsidR="00000000" w:rsidDel="00000000" w:rsidP="00000000" w:rsidRDefault="00000000" w:rsidRPr="00000000" w14:paraId="00000038">
      <w:pPr>
        <w:spacing w:after="160" w:lineRule="auto"/>
        <w:rPr/>
      </w:pPr>
      <w:r>
        <w:rPr>
          <w:rFonts w:ascii="Arial" w:cs="Arial" w:eastAsia="Arial" w:hAnsi="Arial"/>
          <w:color w:val="000000"/>
          <w:sz w:val="22"/>
          <w:szCs w:val="22"/>
          <w:rtl w:val="0"/>
        </w:rPr>
        <w:t xml:space="preserve">The Breakthrough Project operates under an explicit separation of powers designed to prevent institutional capture (see Essay 14, Governance and Sovereignty) and build trust with Development Partners, Ministries of Education, and the African Union:</w:t>
      </w:r>
      <w:r>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2800"/>
        <w:gridCol w:w="4760"/>
        <w:tblGridChange w:id="0">
          <w:tblGrid>
            <w:gridCol w:w="1800"/>
            <w:gridCol w:w="2800"/>
            <w:gridCol w:w="4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3864" w:val="clear"/>
            <w:tcMar>
              <w:top w:w="80.0" w:type="dxa"/>
              <w:left w:w="120.0" w:type="dxa"/>
              <w:bottom w:w="80.0" w:type="dxa"/>
              <w:right w:w="120.0" w:type="dxa"/>
            </w:tcMar>
            <w:vAlign w:val="center"/>
          </w:tcPr>
          <w:p w:rsidR="00000000" w:rsidDel="00000000" w:rsidP="00000000" w:rsidRDefault="00000000" w:rsidRPr="00000000" w14:paraId="00000039">
            <w:pPr>
              <w:rPr/>
            </w:pPr>
            <w:r>
              <w:rPr>
                <w:rFonts w:ascii="Arial" w:cs="Arial" w:eastAsia="Arial" w:hAnsi="Arial"/>
                <w:b w:val="1"/>
                <w:bCs w:val="1"/>
                <w:color w:val="ffffff"/>
                <w:sz w:val="20"/>
                <w:szCs w:val="20"/>
                <w:rtl w:val="0"/>
              </w:rPr>
              <w:t xml:space="preserve">Pillar</w:t>
            </w:r>
            <w:r>
              <w:rPr>
                <w:rtl w:val="0"/>
              </w:rPr>
            </w:r>
          </w:p>
        </w:tc>
        <w:tc>
          <w:tcPr>
            <w:tcBorders>
              <w:top w:color="cccccc" w:space="0" w:sz="4" w:val="single"/>
              <w:left w:color="cccccc" w:space="0" w:sz="4" w:val="single"/>
              <w:bottom w:color="cccccc" w:space="0" w:sz="4" w:val="single"/>
              <w:right w:color="cccccc" w:space="0" w:sz="4" w:val="single"/>
            </w:tcBorders>
            <w:shd w:fill="1f3864" w:val="clear"/>
            <w:tcMar>
              <w:top w:w="80.0" w:type="dxa"/>
              <w:left w:w="120.0" w:type="dxa"/>
              <w:bottom w:w="80.0" w:type="dxa"/>
              <w:right w:w="120.0" w:type="dxa"/>
            </w:tcMar>
            <w:vAlign w:val="center"/>
          </w:tcPr>
          <w:p w:rsidR="00000000" w:rsidDel="00000000" w:rsidP="00000000" w:rsidRDefault="00000000" w:rsidRPr="00000000" w14:paraId="0000003A">
            <w:pPr>
              <w:rPr/>
            </w:pPr>
            <w:r>
              <w:rPr>
                <w:rFonts w:ascii="Arial" w:cs="Arial" w:eastAsia="Arial" w:hAnsi="Arial"/>
                <w:b w:val="1"/>
                <w:bCs w:val="1"/>
                <w:color w:val="ffffff"/>
                <w:sz w:val="20"/>
                <w:szCs w:val="20"/>
                <w:rtl w:val="0"/>
              </w:rPr>
              <w:t xml:space="preserve">Institution</w:t>
            </w:r>
            <w:r>
              <w:rPr>
                <w:rtl w:val="0"/>
              </w:rPr>
            </w:r>
          </w:p>
        </w:tc>
        <w:tc>
          <w:tcPr>
            <w:tcBorders>
              <w:top w:color="cccccc" w:space="0" w:sz="4" w:val="single"/>
              <w:left w:color="cccccc" w:space="0" w:sz="4" w:val="single"/>
              <w:bottom w:color="cccccc" w:space="0" w:sz="4" w:val="single"/>
              <w:right w:color="cccccc" w:space="0" w:sz="4" w:val="single"/>
            </w:tcBorders>
            <w:shd w:fill="1f3864" w:val="clear"/>
            <w:tcMar>
              <w:top w:w="80.0" w:type="dxa"/>
              <w:left w:w="120.0" w:type="dxa"/>
              <w:bottom w:w="80.0" w:type="dxa"/>
              <w:right w:w="120.0" w:type="dxa"/>
            </w:tcMar>
            <w:vAlign w:val="center"/>
          </w:tcPr>
          <w:p w:rsidR="00000000" w:rsidDel="00000000" w:rsidP="00000000" w:rsidRDefault="00000000" w:rsidRPr="00000000" w14:paraId="0000003B">
            <w:pPr>
              <w:rPr/>
            </w:pPr>
            <w:r>
              <w:rPr>
                <w:rFonts w:ascii="Arial" w:cs="Arial" w:eastAsia="Arial" w:hAnsi="Arial"/>
                <w:b w:val="1"/>
                <w:bCs w:val="1"/>
                <w:color w:val="ffffff"/>
                <w:sz w:val="20"/>
                <w:szCs w:val="20"/>
                <w:rtl w:val="0"/>
              </w:rPr>
              <w:t xml:space="preserve">Core Responsibility</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3C">
            <w:pPr>
              <w:rPr/>
            </w:pPr>
            <w:r>
              <w:rPr>
                <w:rFonts w:ascii="Arial" w:cs="Arial" w:eastAsia="Arial" w:hAnsi="Arial"/>
                <w:b w:val="0"/>
                <w:bCs w:val="0"/>
                <w:color w:val="000000"/>
                <w:sz w:val="20"/>
                <w:szCs w:val="20"/>
                <w:rtl w:val="0"/>
              </w:rPr>
              <w:t xml:space="preserve">Technical</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3D">
            <w:pPr>
              <w:rPr/>
            </w:pPr>
            <w:r>
              <w:rPr>
                <w:rFonts w:ascii="Arial" w:cs="Arial" w:eastAsia="Arial" w:hAnsi="Arial"/>
                <w:b w:val="0"/>
                <w:bCs w:val="0"/>
                <w:color w:val="000000"/>
                <w:sz w:val="20"/>
                <w:szCs w:val="20"/>
                <w:rtl w:val="0"/>
              </w:rPr>
              <w:t xml:space="preserve">Spix Foundation</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3E">
            <w:pPr>
              <w:rPr/>
            </w:pPr>
            <w:r>
              <w:rPr>
                <w:rFonts w:ascii="Arial" w:cs="Arial" w:eastAsia="Arial" w:hAnsi="Arial"/>
                <w:b w:val="0"/>
                <w:bCs w:val="0"/>
                <w:color w:val="000000"/>
                <w:sz w:val="20"/>
                <w:szCs w:val="20"/>
                <w:rtl w:val="0"/>
              </w:rPr>
              <w:t xml:space="preserve">Platform stewardship, trademark enforcement, ecosystem governance</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3F">
            <w:pPr>
              <w:rPr/>
            </w:pPr>
            <w:r>
              <w:rPr>
                <w:rFonts w:ascii="Arial" w:cs="Arial" w:eastAsia="Arial" w:hAnsi="Arial"/>
                <w:b w:val="0"/>
                <w:bCs w:val="0"/>
                <w:color w:val="000000"/>
                <w:sz w:val="20"/>
                <w:szCs w:val="20"/>
                <w:rtl w:val="0"/>
              </w:rPr>
              <w:t xml:space="preserve">Fiduciary</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40">
            <w:pPr>
              <w:rPr/>
            </w:pPr>
            <w:r>
              <w:rPr>
                <w:rFonts w:ascii="Arial" w:cs="Arial" w:eastAsia="Arial" w:hAnsi="Arial"/>
                <w:b w:val="0"/>
                <w:bCs w:val="0"/>
                <w:color w:val="000000"/>
                <w:sz w:val="20"/>
                <w:szCs w:val="20"/>
                <w:rtl w:val="0"/>
              </w:rPr>
              <w:t xml:space="preserve">Fiduciary Trustee (TBD)</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41">
            <w:pPr>
              <w:rPr/>
            </w:pPr>
            <w:r>
              <w:rPr>
                <w:rFonts w:ascii="Arial" w:cs="Arial" w:eastAsia="Arial" w:hAnsi="Arial"/>
                <w:b w:val="0"/>
                <w:bCs w:val="0"/>
                <w:color w:val="000000"/>
                <w:sz w:val="20"/>
                <w:szCs w:val="20"/>
                <w:rtl w:val="0"/>
              </w:rPr>
              <w:t xml:space="preserve">Fund management, milestone verification, disbursement control</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42">
            <w:pPr>
              <w:rPr/>
            </w:pPr>
            <w:r>
              <w:rPr>
                <w:rFonts w:ascii="Arial" w:cs="Arial" w:eastAsia="Arial" w:hAnsi="Arial"/>
                <w:b w:val="0"/>
                <w:bCs w:val="0"/>
                <w:color w:val="000000"/>
                <w:sz w:val="20"/>
                <w:szCs w:val="20"/>
                <w:rtl w:val="0"/>
              </w:rPr>
              <w:t xml:space="preserve">Political</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43">
            <w:pPr>
              <w:rPr/>
            </w:pPr>
            <w:r>
              <w:rPr>
                <w:rFonts w:ascii="Arial" w:cs="Arial" w:eastAsia="Arial" w:hAnsi="Arial"/>
                <w:b w:val="0"/>
                <w:bCs w:val="0"/>
                <w:color w:val="000000"/>
                <w:sz w:val="20"/>
                <w:szCs w:val="20"/>
                <w:rtl w:val="0"/>
              </w:rPr>
              <w:t xml:space="preserve">AUDA-NEPAD</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44">
            <w:pPr>
              <w:rPr/>
            </w:pPr>
            <w:r>
              <w:rPr>
                <w:rFonts w:ascii="Arial" w:cs="Arial" w:eastAsia="Arial" w:hAnsi="Arial"/>
                <w:b w:val="0"/>
                <w:bCs w:val="0"/>
                <w:color w:val="000000"/>
                <w:sz w:val="20"/>
                <w:szCs w:val="20"/>
                <w:rtl w:val="0"/>
              </w:rPr>
              <w:t xml:space="preserve">Continental coordination, policy domestication, ministerial alignment</w:t>
            </w:r>
            <w:r>
              <w:rPr>
                <w:rtl w:val="0"/>
              </w:rPr>
            </w:r>
          </w:p>
        </w:tc>
      </w:tr>
    </w:tbl>
    <w:p w:rsidR="00000000" w:rsidDel="00000000" w:rsidP="00000000" w:rsidRDefault="00000000" w:rsidRPr="00000000" w14:paraId="00000045">
      <w:pPr>
        <w:spacing w:after="160" w:lineRule="auto"/>
        <w:rPr/>
      </w:pPr>
      <w:r>
        <w:rPr>
          <w:rtl w:val="0"/>
        </w:rPr>
      </w:r>
    </w:p>
    <w:p w:rsidR="00000000" w:rsidDel="00000000" w:rsidP="00000000" w:rsidRDefault="00000000" w:rsidRPr="00000000" w14:paraId="00000046">
      <w:pPr>
        <w:spacing w:after="160" w:lineRule="auto"/>
        <w:rPr/>
      </w:pPr>
      <w:r>
        <w:rPr>
          <w:rFonts w:ascii="Arial" w:cs="Arial" w:eastAsia="Arial" w:hAnsi="Arial"/>
          <w:b w:val="1"/>
          <w:bCs w:val="1"/>
          <w:sz w:val="22"/>
          <w:szCs w:val="22"/>
          <w:rtl w:val="0"/>
        </w:rPr>
        <w:t xml:space="preserve">No single entity controls more than one pillar. </w:t>
      </w:r>
      <w:r>
        <w:rPr>
          <w:rFonts w:ascii="Arial" w:cs="Arial" w:eastAsia="Arial" w:hAnsi="Arial"/>
          <w:sz w:val="22"/>
          <w:szCs w:val="22"/>
          <w:rtl w:val="0"/>
        </w:rPr>
        <w:t xml:space="preserve">This is a constitutional constraint, not a convenience. The Spix Foundation does not touch donor funds (the Fiduciary Trustee manages disbursement) and does not make political decisions (AUDA-NEPAD coordinates with Ministries and the African Union). The Foundation’s authority is bounded to the technical domain.</w:t>
      </w:r>
      <w:r>
        <w:rPr>
          <w:rtl w:val="0"/>
        </w:rPr>
      </w:r>
    </w:p>
    <w:p w:rsidR="00000000" w:rsidDel="00000000" w:rsidP="00000000" w:rsidRDefault="00000000" w:rsidRPr="00000000" w14:paraId="00000047">
      <w:pPr>
        <w:pStyle w:val="Heading2"/>
        <w:spacing w:after="160" w:before="280" w:lineRule="auto"/>
        <w:rPr/>
      </w:pPr>
      <w:r>
        <w:rPr>
          <w:rFonts w:ascii="Arial" w:cs="Arial" w:eastAsia="Arial" w:hAnsi="Arial"/>
          <w:b w:val="1"/>
          <w:bCs w:val="1"/>
          <w:color w:val="2f5496"/>
          <w:sz w:val="26"/>
          <w:szCs w:val="26"/>
          <w:rtl w:val="0"/>
        </w:rPr>
        <w:t xml:space="preserve">2.3 The Golden Veto</w:t>
      </w:r>
      <w:r>
        <w:rPr>
          <w:rtl w:val="0"/>
        </w:rPr>
      </w:r>
    </w:p>
    <w:p w:rsidR="00000000" w:rsidDel="00000000" w:rsidP="00000000" w:rsidRDefault="00000000" w:rsidRPr="00000000" w14:paraId="00000048">
      <w:pPr>
        <w:spacing w:after="160" w:lineRule="auto"/>
        <w:rPr/>
      </w:pPr>
      <w:r>
        <w:rPr>
          <w:rFonts w:ascii="Arial" w:cs="Arial" w:eastAsia="Arial" w:hAnsi="Arial"/>
          <w:color w:val="000000"/>
          <w:sz w:val="22"/>
          <w:szCs w:val="22"/>
          <w:rtl w:val="0"/>
        </w:rPr>
        <w:t xml:space="preserve">The Spix Foundation holds a constitutional safeguard—the Golden Veto—over decisions made by Professional Bodies and Product Associations that would threaten ecosystem health, interoperability, fairness, or long-term viability. This mechanism follows established FOSS governance precedent (see Essay 14; cf. Linus Torvalds’ authority over Linux kernel decisions, the Python Steering Council’s authority over PEPs).</w:t>
      </w:r>
      <w:r>
        <w:rPr>
          <w:rtl w:val="0"/>
        </w:rPr>
      </w:r>
    </w:p>
    <w:p w:rsidR="00000000" w:rsidDel="00000000" w:rsidP="00000000" w:rsidRDefault="00000000" w:rsidRPr="00000000" w14:paraId="00000049">
      <w:pPr>
        <w:spacing w:after="160" w:lineRule="auto"/>
        <w:rPr/>
      </w:pPr>
      <w:r>
        <w:rPr>
          <w:rFonts w:ascii="Arial" w:cs="Arial" w:eastAsia="Arial" w:hAnsi="Arial"/>
          <w:color w:val="000000"/>
          <w:sz w:val="22"/>
          <w:szCs w:val="22"/>
          <w:rtl w:val="0"/>
        </w:rPr>
        <w:t xml:space="preserve">The Golden Veto is self-limiting by design: RESPECT is Free and Open Source Software, and excessive or misaligned use of the veto would incentivize forks, exit, and competing ecosystems. Market discipline constrains the veto’s use more effectively than any written policy.</w:t>
      </w:r>
      <w:r>
        <w:rPr>
          <w:rtl w:val="0"/>
        </w:rPr>
      </w:r>
    </w:p>
    <w:p w:rsidR="00000000" w:rsidDel="00000000" w:rsidP="00000000" w:rsidRDefault="00000000" w:rsidRPr="00000000" w14:paraId="0000004A">
      <w:pPr>
        <w:pStyle w:val="Heading2"/>
        <w:spacing w:after="160" w:before="280" w:lineRule="auto"/>
        <w:rPr/>
      </w:pPr>
      <w:r>
        <w:rPr>
          <w:rFonts w:ascii="Arial" w:cs="Arial" w:eastAsia="Arial" w:hAnsi="Arial"/>
          <w:b w:val="1"/>
          <w:bCs w:val="1"/>
          <w:color w:val="2f5496"/>
          <w:sz w:val="26"/>
          <w:szCs w:val="26"/>
          <w:rtl w:val="0"/>
        </w:rPr>
        <w:t xml:space="preserve">2.4 Transition Pathway</w:t>
      </w:r>
      <w:r>
        <w:rPr>
          <w:rtl w:val="0"/>
        </w:rPr>
      </w:r>
    </w:p>
    <w:p w:rsidR="00000000" w:rsidDel="00000000" w:rsidP="00000000" w:rsidRDefault="00000000" w:rsidRPr="00000000" w14:paraId="0000004B">
      <w:pPr>
        <w:spacing w:after="160" w:lineRule="auto"/>
        <w:rPr/>
      </w:pPr>
      <w:r>
        <w:rPr>
          <w:rFonts w:ascii="Arial" w:cs="Arial" w:eastAsia="Arial" w:hAnsi="Arial"/>
          <w:color w:val="000000"/>
          <w:sz w:val="22"/>
          <w:szCs w:val="22"/>
          <w:rtl w:val="0"/>
        </w:rPr>
        <w:t xml:space="preserve">The Spix Foundation is not designed to be the permanent steward of RESPECT. The medium-term plan (post-program) is to transfer platform stewardship to a RESPECT-only foundation, potentially under an established FOSS umbrella organization (Apache Software Foundation, Linux Foundation, or equivalent).</w:t>
      </w:r>
      <w:r>
        <w:rPr>
          <w:rtl w:val="0"/>
        </w:rPr>
      </w:r>
    </w:p>
    <w:p w:rsidR="00000000" w:rsidDel="00000000" w:rsidP="00000000" w:rsidRDefault="00000000" w:rsidRPr="00000000" w14:paraId="0000004C">
      <w:pPr>
        <w:rPr/>
      </w:pPr>
      <w:r>
        <w:br w:type="page"/>
      </w:r>
      <w:r>
        <w:rPr>
          <w:rtl w:val="0"/>
        </w:rPr>
      </w:r>
    </w:p>
    <w:p w:rsidR="00000000" w:rsidDel="00000000" w:rsidP="00000000" w:rsidRDefault="00000000" w:rsidRPr="00000000" w14:paraId="0000004D">
      <w:pPr>
        <w:pStyle w:val="Heading1"/>
        <w:spacing w:after="200" w:before="360" w:lineRule="auto"/>
        <w:rPr/>
      </w:pPr>
      <w:r>
        <w:rPr>
          <w:rFonts w:ascii="Arial" w:cs="Arial" w:eastAsia="Arial" w:hAnsi="Arial"/>
          <w:b w:val="1"/>
          <w:bCs w:val="1"/>
          <w:color w:val="1f3864"/>
          <w:sz w:val="32"/>
          <w:szCs w:val="32"/>
          <w:rtl w:val="0"/>
        </w:rPr>
        <w:t xml:space="preserve">3. Programs and Services</w:t>
      </w:r>
      <w:r>
        <w:rPr>
          <w:rtl w:val="0"/>
        </w:rPr>
      </w:r>
    </w:p>
    <w:p w:rsidR="00000000" w:rsidDel="00000000" w:rsidP="00000000" w:rsidRDefault="00000000" w:rsidRPr="00000000" w14:paraId="0000004E">
      <w:pPr>
        <w:spacing w:after="160" w:lineRule="auto"/>
        <w:rPr/>
      </w:pPr>
      <w:r>
        <w:rPr>
          <w:rFonts w:ascii="Arial" w:cs="Arial" w:eastAsia="Arial" w:hAnsi="Arial"/>
          <w:color w:val="000000"/>
          <w:sz w:val="22"/>
          <w:szCs w:val="22"/>
          <w:rtl w:val="0"/>
        </w:rPr>
        <w:t xml:space="preserve">The Spix Foundation’s operational footprint comprises six domains. Each is essential; none extends beyond the Foundation’s technical-steward mandate.</w:t>
      </w:r>
      <w:r>
        <w:rPr>
          <w:rtl w:val="0"/>
        </w:rPr>
      </w:r>
    </w:p>
    <w:p w:rsidR="00000000" w:rsidDel="00000000" w:rsidP="00000000" w:rsidRDefault="00000000" w:rsidRPr="00000000" w14:paraId="0000004F">
      <w:pPr>
        <w:pStyle w:val="Heading2"/>
        <w:spacing w:after="160" w:before="280" w:lineRule="auto"/>
        <w:rPr/>
      </w:pPr>
      <w:r>
        <w:rPr>
          <w:rFonts w:ascii="Arial" w:cs="Arial" w:eastAsia="Arial" w:hAnsi="Arial"/>
          <w:b w:val="1"/>
          <w:bCs w:val="1"/>
          <w:color w:val="2f5496"/>
          <w:sz w:val="26"/>
          <w:szCs w:val="26"/>
          <w:rtl w:val="0"/>
        </w:rPr>
        <w:t xml:space="preserve">3.1 RESPECT Platform Development and Operations</w:t>
      </w:r>
      <w:r>
        <w:rPr>
          <w:rtl w:val="0"/>
        </w:rPr>
      </w:r>
    </w:p>
    <w:p w:rsidR="00000000" w:rsidDel="00000000" w:rsidP="00000000" w:rsidRDefault="00000000" w:rsidRPr="00000000" w14:paraId="00000050">
      <w:pPr>
        <w:spacing w:after="160" w:lineRule="auto"/>
        <w:rPr/>
      </w:pPr>
      <w:r>
        <w:rPr>
          <w:rFonts w:ascii="Arial" w:cs="Arial" w:eastAsia="Arial" w:hAnsi="Arial"/>
          <w:color w:val="000000"/>
          <w:sz w:val="22"/>
          <w:szCs w:val="22"/>
          <w:rtl w:val="0"/>
        </w:rPr>
        <w:t xml:space="preserve">The Foundation’s primary function is to develop, maintain, secure, and operate the RESPECT Platform (see Essay 06, Africa’s EdTech Breakthrough)—the shared Free and Open Source infrastructure that enables all RESPECT Compatible™ products, services, and certifications. This includes core software development, release management, security and quality assurance, standards compliance, hosting, monitoring, incident response, and performance optimization.</w:t>
      </w:r>
      <w:r>
        <w:rPr>
          <w:rtl w:val="0"/>
        </w:rPr>
      </w:r>
    </w:p>
    <w:p w:rsidR="00000000" w:rsidDel="00000000" w:rsidP="00000000" w:rsidRDefault="00000000" w:rsidRPr="00000000" w14:paraId="00000051">
      <w:pPr>
        <w:spacing w:after="160" w:lineRule="auto"/>
        <w:rPr/>
      </w:pPr>
      <w:r>
        <w:rPr>
          <w:rFonts w:ascii="Arial" w:cs="Arial" w:eastAsia="Arial" w:hAnsi="Arial"/>
          <w:color w:val="000000"/>
          <w:sz w:val="22"/>
          <w:szCs w:val="22"/>
          <w:rtl w:val="0"/>
        </w:rPr>
        <w:t xml:space="preserve">At maturity, the platform team is expected to comprise 80–100 FTE, comparable to Moodle HQ’s core team. During Programme Years 1–2 (Tranche 1), the team will be smaller as the platform moves from architecture to initial deployment across six pilot countries.</w:t>
      </w:r>
      <w:r>
        <w:rPr>
          <w:rtl w:val="0"/>
        </w:rPr>
      </w:r>
    </w:p>
    <w:p w:rsidR="00000000" w:rsidDel="00000000" w:rsidP="00000000" w:rsidRDefault="00000000" w:rsidRPr="00000000" w14:paraId="00000052">
      <w:pPr>
        <w:pStyle w:val="Heading2"/>
        <w:spacing w:after="160" w:before="280" w:lineRule="auto"/>
        <w:rPr/>
      </w:pPr>
      <w:r>
        <w:rPr>
          <w:rFonts w:ascii="Arial" w:cs="Arial" w:eastAsia="Arial" w:hAnsi="Arial"/>
          <w:b w:val="1"/>
          <w:bCs w:val="1"/>
          <w:color w:val="2f5496"/>
          <w:sz w:val="26"/>
          <w:szCs w:val="26"/>
          <w:rtl w:val="0"/>
        </w:rPr>
        <w:t xml:space="preserve">3.2 Trademark Ownership and Enforcement</w:t>
      </w:r>
      <w:r>
        <w:rPr>
          <w:rtl w:val="0"/>
        </w:rPr>
      </w:r>
    </w:p>
    <w:p w:rsidR="00000000" w:rsidDel="00000000" w:rsidP="00000000" w:rsidRDefault="00000000" w:rsidRPr="00000000" w14:paraId="00000053">
      <w:pPr>
        <w:spacing w:after="160" w:lineRule="auto"/>
        <w:rPr/>
      </w:pPr>
      <w:r>
        <w:rPr>
          <w:rFonts w:ascii="Arial" w:cs="Arial" w:eastAsia="Arial" w:hAnsi="Arial"/>
          <w:color w:val="000000"/>
          <w:sz w:val="22"/>
          <w:szCs w:val="22"/>
          <w:rtl w:val="0"/>
        </w:rPr>
        <w:t xml:space="preserve">The Foundation owns and enforces the RESPECT™ trademark, the RESPECT Compatible™ certification mark, and all associated certification marks (RESPECT Certified Partners™, Impletors®, GEOSor®, DiPian®, LearnTab™). This authority enables the Foundation to:</w:t>
      </w:r>
      <w:r>
        <w:rPr>
          <w:rtl w:val="0"/>
        </w:rPr>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Pr>
          <w:rFonts w:ascii="Arial" w:cs="Arial" w:eastAsia="Arial" w:hAnsi="Arial"/>
          <w:b w:val="0"/>
          <w:bCs w:val="0"/>
          <w:i w:val="0"/>
          <w:iCs w:val="0"/>
          <w:smallCaps w:val="0"/>
          <w:strike w:val="0"/>
          <w:color w:val="000000"/>
          <w:sz w:val="22"/>
          <w:szCs w:val="22"/>
          <w:u w:val="none"/>
          <w:shd w:fill="auto" w:val="clear"/>
          <w:vertAlign w:val="baseline"/>
          <w:rtl w:val="0"/>
        </w:rPr>
        <w:t xml:space="preserve">Define and update certification standards and test suites</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Pr>
          <w:rFonts w:ascii="Arial" w:cs="Arial" w:eastAsia="Arial" w:hAnsi="Arial"/>
          <w:b w:val="0"/>
          <w:bCs w:val="0"/>
          <w:i w:val="0"/>
          <w:iCs w:val="0"/>
          <w:smallCaps w:val="0"/>
          <w:strike w:val="0"/>
          <w:color w:val="000000"/>
          <w:sz w:val="22"/>
          <w:szCs w:val="22"/>
          <w:u w:val="none"/>
          <w:shd w:fill="auto" w:val="clear"/>
          <w:vertAlign w:val="baseline"/>
          <w:rtl w:val="0"/>
        </w:rPr>
        <w:t xml:space="preserve">Grant and revoke usage rights for compliant and non-compliant products</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Pr>
          <w:rFonts w:ascii="Arial" w:cs="Arial" w:eastAsia="Arial" w:hAnsi="Arial"/>
          <w:b w:val="0"/>
          <w:bCs w:val="0"/>
          <w:i w:val="0"/>
          <w:iCs w:val="0"/>
          <w:smallCaps w:val="0"/>
          <w:strike w:val="0"/>
          <w:color w:val="000000"/>
          <w:sz w:val="22"/>
          <w:szCs w:val="22"/>
          <w:u w:val="none"/>
          <w:shd w:fill="auto" w:val="clear"/>
          <w:vertAlign w:val="baseline"/>
          <w:rtl w:val="0"/>
        </w:rPr>
        <w:t xml:space="preserve">Maintain ecosystem discipline and interoperability</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Pr>
          <w:rFonts w:ascii="Arial" w:cs="Arial" w:eastAsia="Arial" w:hAnsi="Arial"/>
          <w:b w:val="0"/>
          <w:bCs w:val="0"/>
          <w:i w:val="0"/>
          <w:iCs w:val="0"/>
          <w:smallCaps w:val="0"/>
          <w:strike w:val="0"/>
          <w:color w:val="000000"/>
          <w:sz w:val="22"/>
          <w:szCs w:val="22"/>
          <w:u w:val="none"/>
          <w:shd w:fill="auto" w:val="clear"/>
          <w:vertAlign w:val="baseline"/>
          <w:rtl w:val="0"/>
        </w:rPr>
        <w:t xml:space="preserve">Prevent harmful forks from misrepresenting themselves as part of the RESPECT Ecosystem</w:t>
      </w:r>
    </w:p>
    <w:p w:rsidR="00000000" w:rsidDel="00000000" w:rsidP="00000000" w:rsidRDefault="00000000" w:rsidRPr="00000000" w14:paraId="00000058">
      <w:pPr>
        <w:spacing w:after="160" w:lineRule="auto"/>
        <w:rPr/>
      </w:pPr>
      <w:r>
        <w:rPr>
          <w:rFonts w:ascii="Arial" w:cs="Arial" w:eastAsia="Arial" w:hAnsi="Arial"/>
          <w:color w:val="000000"/>
          <w:sz w:val="22"/>
          <w:szCs w:val="22"/>
          <w:rtl w:val="0"/>
        </w:rPr>
        <w:t xml:space="preserve">This trademark authority is the Foundation’s primary long-term revenue mechanism (see Essay 08, RESPECT’s Economic Model) and its primary tool for ecosystem quality assurance. It follows the model established by Linux®, Python®, Apache®, Bluetooth®, and LEED®.</w:t>
      </w:r>
      <w:r>
        <w:rPr>
          <w:rtl w:val="0"/>
        </w:rPr>
      </w:r>
    </w:p>
    <w:p w:rsidR="00000000" w:rsidDel="00000000" w:rsidP="00000000" w:rsidRDefault="00000000" w:rsidRPr="00000000" w14:paraId="00000059">
      <w:pPr>
        <w:pStyle w:val="Heading2"/>
        <w:spacing w:after="160" w:before="280" w:lineRule="auto"/>
        <w:rPr/>
      </w:pPr>
      <w:r>
        <w:rPr>
          <w:rFonts w:ascii="Arial" w:cs="Arial" w:eastAsia="Arial" w:hAnsi="Arial"/>
          <w:b w:val="1"/>
          <w:bCs w:val="1"/>
          <w:color w:val="2f5496"/>
          <w:sz w:val="26"/>
          <w:szCs w:val="26"/>
          <w:rtl w:val="0"/>
        </w:rPr>
        <w:t xml:space="preserve">3.3 SpoDit Governance</w:t>
      </w:r>
      <w:r>
        <w:rPr>
          <w:rtl w:val="0"/>
        </w:rPr>
      </w:r>
    </w:p>
    <w:p w:rsidR="00000000" w:rsidDel="00000000" w:rsidP="00000000" w:rsidRDefault="00000000" w:rsidRPr="00000000" w14:paraId="0000005A">
      <w:pPr>
        <w:spacing w:after="160" w:lineRule="auto"/>
        <w:rPr/>
      </w:pPr>
      <w:r>
        <w:rPr>
          <w:rFonts w:ascii="Arial" w:cs="Arial" w:eastAsia="Arial" w:hAnsi="Arial"/>
          <w:sz w:val="22"/>
          <w:szCs w:val="22"/>
          <w:rtl w:val="0"/>
        </w:rPr>
        <w:t xml:space="preserve">The Foundation governs the rules for Sponsor Credits (SpoDits) within the RESPECT Ecosystem (see Essay 09, Sponsor Credits). </w:t>
      </w:r>
      <w:r>
        <w:rPr>
          <w:rFonts w:ascii="Arial" w:cs="Arial" w:eastAsia="Arial" w:hAnsi="Arial"/>
          <w:b w:val="1"/>
          <w:bCs w:val="1"/>
          <w:sz w:val="22"/>
          <w:szCs w:val="22"/>
          <w:rtl w:val="0"/>
        </w:rPr>
        <w:t xml:space="preserve">SpoDits are not advertisements.</w:t>
      </w:r>
      <w:r>
        <w:rPr>
          <w:rFonts w:ascii="Arial" w:cs="Arial" w:eastAsia="Arial" w:hAnsi="Arial"/>
          <w:sz w:val="22"/>
          <w:szCs w:val="22"/>
          <w:rtl w:val="0"/>
        </w:rPr>
        <w:t xml:space="preserve"> They are neutral attributions of support—legally distinct from advertising under every major legal tradition the project touches: Anglophone (sponsorship/sponsor identification), Francophone (parrainage/mécénat), Lusophone (patrocínio), and Arabic-speaking jurisdictions. This distinction is not novel; it is established law.</w:t>
      </w:r>
      <w:r>
        <w:rPr>
          <w:rtl w:val="0"/>
        </w:rPr>
      </w:r>
    </w:p>
    <w:p w:rsidR="00000000" w:rsidDel="00000000" w:rsidP="00000000" w:rsidRDefault="00000000" w:rsidRPr="00000000" w14:paraId="0000005B">
      <w:pPr>
        <w:spacing w:after="160" w:lineRule="auto"/>
        <w:rPr/>
      </w:pPr>
      <w:r>
        <w:rPr>
          <w:rFonts w:ascii="Arial" w:cs="Arial" w:eastAsia="Arial" w:hAnsi="Arial"/>
          <w:color w:val="000000"/>
          <w:sz w:val="22"/>
          <w:szCs w:val="22"/>
          <w:rtl w:val="0"/>
        </w:rPr>
        <w:t xml:space="preserve">The same legal distinction has funded children’s and educational programming for decades (PBS Kids, BBC Children’s) and operates in the most restrictive media environments in the world. College athletics sponsorship operates at billions of dollars annually under equivalent constraints. Essay 09 details the legal basis across all major traditions.</w:t>
      </w:r>
      <w:r>
        <w:rPr>
          <w:rtl w:val="0"/>
        </w:rPr>
      </w:r>
    </w:p>
    <w:p w:rsidR="00000000" w:rsidDel="00000000" w:rsidP="00000000" w:rsidRDefault="00000000" w:rsidRPr="00000000" w14:paraId="0000005C">
      <w:pPr>
        <w:spacing w:after="160" w:lineRule="auto"/>
        <w:rPr/>
      </w:pPr>
      <w:r>
        <w:rPr>
          <w:rFonts w:ascii="Arial" w:cs="Arial" w:eastAsia="Arial" w:hAnsi="Arial"/>
          <w:color w:val="000000"/>
          <w:sz w:val="22"/>
          <w:szCs w:val="22"/>
          <w:rtl w:val="0"/>
        </w:rPr>
        <w:t xml:space="preserve">The Foundation’s specific governance responsibilities include:</w:t>
      </w:r>
      <w:r>
        <w:rPr>
          <w:rtl w:val="0"/>
        </w:rPr>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Pr>
          <w:rFonts w:ascii="Arial" w:cs="Arial" w:eastAsia="Arial" w:hAnsi="Arial"/>
          <w:b w:val="0"/>
          <w:bCs w:val="0"/>
          <w:i w:val="0"/>
          <w:iCs w:val="0"/>
          <w:smallCaps w:val="0"/>
          <w:strike w:val="0"/>
          <w:color w:val="000000"/>
          <w:sz w:val="22"/>
          <w:szCs w:val="22"/>
          <w:u w:val="none"/>
          <w:shd w:fill="auto" w:val="clear"/>
          <w:vertAlign w:val="baseline"/>
          <w:rtl w:val="0"/>
        </w:rPr>
        <w:t xml:space="preserve">Determining frequency, timing, and geographic scope of SpoDit display</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Pr>
          <w:rFonts w:ascii="Arial" w:cs="Arial" w:eastAsia="Arial" w:hAnsi="Arial"/>
          <w:b w:val="0"/>
          <w:bCs w:val="0"/>
          <w:i w:val="0"/>
          <w:iCs w:val="0"/>
          <w:smallCaps w:val="0"/>
          <w:strike w:val="0"/>
          <w:color w:val="000000"/>
          <w:sz w:val="22"/>
          <w:szCs w:val="22"/>
          <w:u w:val="none"/>
          <w:shd w:fill="auto" w:val="clear"/>
          <w:vertAlign w:val="baseline"/>
          <w:rtl w:val="0"/>
        </w:rPr>
        <w:t xml:space="preserve">Enforcing the four strict conditions: identity-only content, no endorsement implication, transparency-only purpose, no sponsor targeting or negotiation</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Pr>
          <w:rFonts w:ascii="Arial" w:cs="Arial" w:eastAsia="Arial" w:hAnsi="Arial"/>
          <w:b w:val="0"/>
          <w:bCs w:val="0"/>
          <w:i w:val="0"/>
          <w:iCs w:val="0"/>
          <w:smallCaps w:val="0"/>
          <w:strike w:val="0"/>
          <w:color w:val="000000"/>
          <w:sz w:val="22"/>
          <w:szCs w:val="22"/>
          <w:u w:val="none"/>
          <w:shd w:fill="auto" w:val="clear"/>
          <w:vertAlign w:val="baseline"/>
          <w:rtl w:val="0"/>
        </w:rPr>
        <w:t xml:space="preserve">Rejecting any proposed SpoDit that fails any condition (making it “not a SpoDit” by definition)</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Pr>
          <w:rFonts w:ascii="Arial" w:cs="Arial" w:eastAsia="Arial" w:hAnsi="Arial"/>
          <w:b w:val="0"/>
          <w:bCs w:val="0"/>
          <w:i w:val="0"/>
          <w:iCs w:val="0"/>
          <w:smallCaps w:val="0"/>
          <w:strike w:val="0"/>
          <w:color w:val="000000"/>
          <w:sz w:val="22"/>
          <w:szCs w:val="22"/>
          <w:u w:val="none"/>
          <w:shd w:fill="auto" w:val="clear"/>
          <w:vertAlign w:val="baseline"/>
          <w:rtl w:val="0"/>
        </w:rPr>
        <w:t xml:space="preserve">Preserving the Ministry opt-out: any Ministry of Education can underwrite all SpoDits in its jurisdiction, replacing third-party credits with “Today’s education is sponsored by [Country’s] Ministry of Education”</w:t>
      </w:r>
    </w:p>
    <w:p w:rsidR="00000000" w:rsidDel="00000000" w:rsidP="00000000" w:rsidRDefault="00000000" w:rsidRPr="00000000" w14:paraId="00000061">
      <w:pPr>
        <w:spacing w:after="160" w:lineRule="auto"/>
        <w:rPr/>
      </w:pPr>
      <w:r>
        <w:rPr>
          <w:rFonts w:ascii="Arial" w:cs="Arial" w:eastAsia="Arial" w:hAnsi="Arial"/>
          <w:i w:val="1"/>
          <w:iCs w:val="1"/>
          <w:sz w:val="22"/>
          <w:szCs w:val="22"/>
          <w:rtl w:val="0"/>
        </w:rPr>
        <w:t xml:space="preserve">The $200M/yr SpoDit revenue at maturity is not the Foundation’s revenue.</w:t>
      </w:r>
      <w:r>
        <w:rPr>
          <w:rFonts w:ascii="Arial" w:cs="Arial" w:eastAsia="Arial" w:hAnsi="Arial"/>
          <w:sz w:val="22"/>
          <w:szCs w:val="22"/>
          <w:rtl w:val="0"/>
        </w:rPr>
        <w:t xml:space="preserve"> It flows through the RESPECT Ecosystem Fund (60% to AppDevs, 15% to Localizers, 25% to the Platform Fund). The Fiduciary Trustee manages disbursement. The Foundation’s role is governance: setting and enforcing the rules that make the model legally and politically sustainable.</w:t>
      </w:r>
      <w:r>
        <w:rPr>
          <w:rtl w:val="0"/>
        </w:rPr>
      </w:r>
    </w:p>
    <w:p w:rsidR="00000000" w:rsidDel="00000000" w:rsidP="00000000" w:rsidRDefault="00000000" w:rsidRPr="00000000" w14:paraId="00000062">
      <w:pPr>
        <w:pStyle w:val="Heading2"/>
        <w:spacing w:after="160" w:before="280" w:lineRule="auto"/>
        <w:rPr/>
      </w:pPr>
      <w:r>
        <w:rPr>
          <w:rFonts w:ascii="Arial" w:cs="Arial" w:eastAsia="Arial" w:hAnsi="Arial"/>
          <w:b w:val="1"/>
          <w:bCs w:val="1"/>
          <w:color w:val="2f5496"/>
          <w:sz w:val="26"/>
          <w:szCs w:val="26"/>
          <w:rtl w:val="0"/>
        </w:rPr>
        <w:t xml:space="preserve">3.4 Ecosystem Governance and Institutional Incubation</w:t>
      </w:r>
      <w:r>
        <w:rPr>
          <w:rtl w:val="0"/>
        </w:rPr>
      </w:r>
    </w:p>
    <w:p w:rsidR="00000000" w:rsidDel="00000000" w:rsidP="00000000" w:rsidRDefault="00000000" w:rsidRPr="00000000" w14:paraId="00000063">
      <w:pPr>
        <w:spacing w:after="160" w:lineRule="auto"/>
        <w:rPr/>
      </w:pPr>
      <w:r>
        <w:rPr>
          <w:rFonts w:ascii="Arial" w:cs="Arial" w:eastAsia="Arial" w:hAnsi="Arial"/>
          <w:color w:val="000000"/>
          <w:sz w:val="22"/>
          <w:szCs w:val="22"/>
          <w:rtl w:val="0"/>
        </w:rPr>
        <w:t xml:space="preserve">During the program period, the Foundation incubates the governance structures for Professional Bodies and Product Associations that will become independent entities as the ecosystem matures:</w:t>
      </w:r>
      <w:r>
        <w:rPr>
          <w:rtl w:val="0"/>
        </w:rPr>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Pr>
          <w:rFonts w:ascii="Arial" w:cs="Arial" w:eastAsia="Arial" w:hAnsi="Arial"/>
          <w:b w:val="1"/>
          <w:bCs w:val="1"/>
          <w:i w:val="0"/>
          <w:iCs w:val="0"/>
          <w:smallCaps w:val="0"/>
          <w:strike w:val="0"/>
          <w:color w:val="000000"/>
          <w:sz w:val="22"/>
          <w:szCs w:val="22"/>
          <w:u w:val="none"/>
          <w:shd w:fill="auto" w:val="clear"/>
          <w:vertAlign w:val="baseline"/>
          <w:rtl w:val="0"/>
        </w:rPr>
        <w:t xml:space="preserve">Professional Bodies </w:t>
      </w:r>
      <w:r>
        <w:rPr>
          <w:rFonts w:ascii="Arial" w:cs="Arial" w:eastAsia="Arial" w:hAnsi="Arial"/>
          <w:b w:val="0"/>
          <w:bCs w:val="0"/>
          <w:i w:val="0"/>
          <w:iCs w:val="0"/>
          <w:smallCaps w:val="0"/>
          <w:strike w:val="0"/>
          <w:color w:val="000000"/>
          <w:sz w:val="22"/>
          <w:szCs w:val="22"/>
          <w:u w:val="none"/>
          <w:shd w:fill="auto" w:val="clear"/>
          <w:vertAlign w:val="baseline"/>
          <w:rtl w:val="0"/>
        </w:rPr>
        <w:t xml:space="preserve">(certifying individuals): RESPECT Certified Mappers, RESPECT Certified Impletors, DPI Engineers (DiPians)</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Pr>
          <w:rFonts w:ascii="Arial" w:cs="Arial" w:eastAsia="Arial" w:hAnsi="Arial"/>
          <w:b w:val="1"/>
          <w:bCs w:val="1"/>
          <w:i w:val="0"/>
          <w:iCs w:val="0"/>
          <w:smallCaps w:val="0"/>
          <w:strike w:val="0"/>
          <w:color w:val="000000"/>
          <w:sz w:val="22"/>
          <w:szCs w:val="22"/>
          <w:u w:val="none"/>
          <w:shd w:fill="auto" w:val="clear"/>
          <w:vertAlign w:val="baseline"/>
          <w:rtl w:val="0"/>
        </w:rPr>
        <w:t xml:space="preserve">Product Associations </w:t>
      </w:r>
      <w:r>
        <w:rPr>
          <w:rFonts w:ascii="Arial" w:cs="Arial" w:eastAsia="Arial" w:hAnsi="Arial"/>
          <w:b w:val="0"/>
          <w:bCs w:val="0"/>
          <w:i w:val="0"/>
          <w:iCs w:val="0"/>
          <w:smallCaps w:val="0"/>
          <w:strike w:val="0"/>
          <w:color w:val="000000"/>
          <w:sz w:val="22"/>
          <w:szCs w:val="22"/>
          <w:u w:val="none"/>
          <w:shd w:fill="auto" w:val="clear"/>
          <w:vertAlign w:val="baseline"/>
          <w:rtl w:val="0"/>
        </w:rPr>
        <w:t xml:space="preserve">(certifying artifacts): RESPECT Compatible Apps Association, RESPECT Compatible App Localizations Association</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Pr>
          <w:rFonts w:ascii="Arial" w:cs="Arial" w:eastAsia="Arial" w:hAnsi="Arial"/>
          <w:b w:val="1"/>
          <w:bCs w:val="1"/>
          <w:i w:val="0"/>
          <w:iCs w:val="0"/>
          <w:smallCaps w:val="0"/>
          <w:strike w:val="0"/>
          <w:color w:val="000000"/>
          <w:sz w:val="22"/>
          <w:szCs w:val="22"/>
          <w:u w:val="none"/>
          <w:shd w:fill="auto" w:val="clear"/>
          <w:vertAlign w:val="baseline"/>
          <w:rtl w:val="0"/>
        </w:rPr>
        <w:t xml:space="preserve">Specialized institutions </w:t>
      </w:r>
      <w:r>
        <w:rPr>
          <w:rFonts w:ascii="Arial" w:cs="Arial" w:eastAsia="Arial" w:hAnsi="Arial"/>
          <w:b w:val="0"/>
          <w:bCs w:val="0"/>
          <w:i w:val="0"/>
          <w:iCs w:val="0"/>
          <w:smallCaps w:val="0"/>
          <w:strike w:val="0"/>
          <w:color w:val="000000"/>
          <w:sz w:val="22"/>
          <w:szCs w:val="22"/>
          <w:u w:val="none"/>
          <w:shd w:fill="auto" w:val="clear"/>
          <w:vertAlign w:val="baseline"/>
          <w:rtl w:val="0"/>
        </w:rPr>
        <w:t xml:space="preserve">(from Planet-Projects): GEOS Organization, SOCLE Board, IMPACT Board</w:t>
      </w:r>
    </w:p>
    <w:p w:rsidR="00000000" w:rsidDel="00000000" w:rsidP="00000000" w:rsidRDefault="00000000" w:rsidRPr="00000000" w14:paraId="00000067">
      <w:pPr>
        <w:spacing w:after="160" w:lineRule="auto"/>
        <w:rPr/>
      </w:pPr>
      <w:sdt>
        <w:sdtPr>
          <w:id w:val="1020675722"/>
          <w:tag w:val="goog_rdk_0"/>
        </w:sdtPr>
        <w:sdtContent>
          <w:r>
            <w:rPr>
              <w:rFonts w:ascii="Arial Unicode MS" w:cs="Arial Unicode MS" w:eastAsia="Arial Unicode MS" w:hAnsi="Arial Unicode MS"/>
              <w:color w:val="000000"/>
              <w:sz w:val="22"/>
              <w:szCs w:val="22"/>
              <w:rtl w:val="0"/>
            </w:rPr>
            <w:t xml:space="preserve">Four dedicated FTE within the Foundation plan the future structures of these entities during the Sun-Project phase: two for Professional Bodies, two for Product Associations. These entities are designed for independence—they are incubated within the Foundation but structured for spin-out, following the Apache Software Foundation’s project incubation/graduation model and CNCF’s maturity ladder (Sandbox → Incubating → Graduated).</w:t>
          </w:r>
        </w:sdtContent>
      </w:sdt>
      <w:r>
        <w:rPr>
          <w:rtl w:val="0"/>
        </w:rPr>
      </w:r>
    </w:p>
    <w:p w:rsidR="00000000" w:rsidDel="00000000" w:rsidP="00000000" w:rsidRDefault="00000000" w:rsidRPr="00000000" w14:paraId="00000068">
      <w:pPr>
        <w:pStyle w:val="Heading2"/>
        <w:spacing w:after="120" w:before="240" w:lineRule="auto"/>
        <w:rPr/>
      </w:pPr>
      <w:r>
        <w:rPr>
          <w:rFonts w:ascii="Arial" w:cs="Arial" w:eastAsia="Arial" w:hAnsi="Arial"/>
          <w:b w:val="1"/>
          <w:bCs w:val="1"/>
          <w:color w:val="2f5496"/>
          <w:sz w:val="26"/>
          <w:szCs w:val="26"/>
          <w:rtl w:val="0"/>
        </w:rPr>
        <w:t xml:space="preserve">3.5 Stakeholder Alignment and Ecosystem Acceleration</w:t>
      </w:r>
      <w:r>
        <w:rPr>
          <w:rtl w:val="0"/>
        </w:rPr>
      </w:r>
    </w:p>
    <w:p w:rsidR="00000000" w:rsidDel="00000000" w:rsidP="00000000" w:rsidRDefault="00000000" w:rsidRPr="00000000" w14:paraId="00000069">
      <w:pPr>
        <w:spacing w:after="160" w:lineRule="auto"/>
        <w:rPr/>
      </w:pPr>
      <w:r>
        <w:rPr>
          <w:rFonts w:ascii="Arial" w:cs="Arial" w:eastAsia="Arial" w:hAnsi="Arial"/>
          <w:sz w:val="22"/>
          <w:szCs w:val="22"/>
          <w:rtl w:val="0"/>
        </w:rPr>
        <w:t xml:space="preserve">The Foundation’s sustainability model depends on a thriving ecosystem of RESPECT Certified Partners, App Developers, Localizers, and engaged Ministries. Ecosystem scale is not a background assumption; it is an output of deliberate, structured Stakeholder Alignment Programs that the Foundation funds and orchestrates during the program period.</w:t>
      </w:r>
      <w:r>
        <w:rPr>
          <w:rtl w:val="0"/>
        </w:rPr>
      </w:r>
    </w:p>
    <w:p w:rsidR="00000000" w:rsidDel="00000000" w:rsidP="00000000" w:rsidRDefault="00000000" w:rsidRPr="00000000" w14:paraId="0000006A">
      <w:pPr>
        <w:spacing w:after="160" w:lineRule="auto"/>
        <w:rPr/>
      </w:pPr>
      <w:r>
        <w:rPr>
          <w:rFonts w:ascii="Arial" w:cs="Arial" w:eastAsia="Arial" w:hAnsi="Arial"/>
          <w:sz w:val="22"/>
          <w:szCs w:val="22"/>
          <w:rtl w:val="0"/>
        </w:rPr>
        <w:t xml:space="preserve">The canonical framework is set out in Essay 11 (</w:t>
      </w:r>
      <w:r>
        <w:rPr>
          <w:rFonts w:ascii="Arial" w:cs="Arial" w:eastAsia="Arial" w:hAnsi="Arial"/>
          <w:i w:val="1"/>
          <w:iCs w:val="1"/>
          <w:sz w:val="22"/>
          <w:szCs w:val="22"/>
          <w:rtl w:val="0"/>
        </w:rPr>
        <w:t xml:space="preserve">From Vision to Value</w:t>
      </w:r>
      <w:r>
        <w:rPr>
          <w:rFonts w:ascii="Arial" w:cs="Arial" w:eastAsia="Arial" w:hAnsi="Arial"/>
          <w:sz w:val="22"/>
          <w:szCs w:val="22"/>
          <w:rtl w:val="0"/>
        </w:rPr>
        <w:t xml:space="preserve">). Nine stakeholder categories—Certified Partners, Ministries, Non-MoE Schools, Educators, App Developers, Localizers, Mappers, Mobile Network Operators, and Development Partners—are each addressed through programs designed around six compounding adoption factors: Alignment, Usability, Capacity, Interoperability, Evidence, and Stewardship.</w:t>
      </w:r>
      <w:r>
        <w:rPr>
          <w:rtl w:val="0"/>
        </w:rPr>
      </w:r>
    </w:p>
    <w:p w:rsidR="00000000" w:rsidDel="00000000" w:rsidP="00000000" w:rsidRDefault="00000000" w:rsidRPr="00000000" w14:paraId="0000006B">
      <w:pPr>
        <w:spacing w:after="160" w:lineRule="auto"/>
        <w:rPr/>
      </w:pPr>
      <w:r>
        <w:rPr>
          <w:rFonts w:ascii="Arial" w:cs="Arial" w:eastAsia="Arial" w:hAnsi="Arial"/>
          <w:sz w:val="22"/>
          <w:szCs w:val="22"/>
          <w:rtl w:val="0"/>
        </w:rPr>
        <w:t xml:space="preserve">The economic logic is direct: the faster the Ecosystem grows—more countries adopting the Platform, more universal usage within each country, more LMICs beyond Africa, and eventually penetration into the Global North—the more every participant’s income scales while costs plateau. This is true for the Platform itself (fixed stewardship costs amortized across a growing base) and equally true for Apps (development cost fixed, revenue proportional to user base). Stakeholder Alignment is therefore not outreach; it is the growth function on which the Foundation’s entire revenue model depends.</w:t>
      </w:r>
      <w:r>
        <w:rPr>
          <w:rtl w:val="0"/>
        </w:rPr>
      </w:r>
    </w:p>
    <w:p w:rsidR="00000000" w:rsidDel="00000000" w:rsidP="00000000" w:rsidRDefault="00000000" w:rsidRPr="00000000" w14:paraId="0000006C">
      <w:pPr>
        <w:spacing w:after="160" w:lineRule="auto"/>
        <w:rPr/>
      </w:pPr>
      <w:sdt>
        <w:sdtPr>
          <w:id w:val="-623623266"/>
          <w:tag w:val="goog_rdk_1"/>
        </w:sdtPr>
        <w:sdtContent>
          <w:r>
            <w:rPr>
              <w:rFonts w:ascii="Arial Unicode MS" w:cs="Arial Unicode MS" w:eastAsia="Arial Unicode MS" w:hAnsi="Arial Unicode MS"/>
              <w:sz w:val="22"/>
              <w:szCs w:val="22"/>
              <w:rtl w:val="0"/>
            </w:rPr>
            <w:t xml:space="preserve">The sequential logic runs: Stakeholder Alignment → Critical Mass → Self-Aligning Ecosystem → De Facto Standard. Once critical mass is reached, adoption becomes market-driven rather than coordination-driven, and the Alignment Programs can be scaled back or shifted to new geographies. The diagnostic framework for measuring this progression is the Momentum Proof (see DP Due Diligence Docs), which scores stakeholder commitment to produce go/no-go signals at each tranche gate. The adoption timeline and three-lane model are detailed in Essay 13 (How long to global scale?).</w:t>
          </w:r>
        </w:sdtContent>
      </w:sdt>
      <w:r>
        <w:rPr>
          <w:rtl w:val="0"/>
        </w:rPr>
      </w:r>
    </w:p>
    <w:p w:rsidR="00000000" w:rsidDel="00000000" w:rsidP="00000000" w:rsidRDefault="00000000" w:rsidRPr="00000000" w14:paraId="0000006D">
      <w:pPr>
        <w:pStyle w:val="Heading2"/>
        <w:spacing w:after="160" w:before="280" w:lineRule="auto"/>
        <w:rPr/>
      </w:pPr>
      <w:r>
        <w:rPr>
          <w:rFonts w:ascii="Arial" w:cs="Arial" w:eastAsia="Arial" w:hAnsi="Arial"/>
          <w:b w:val="1"/>
          <w:bCs w:val="1"/>
          <w:color w:val="2f5496"/>
          <w:sz w:val="26"/>
          <w:szCs w:val="26"/>
          <w:rtl w:val="0"/>
        </w:rPr>
        <w:t xml:space="preserve">3.6 Foundation Operations</w:t>
      </w:r>
      <w:r>
        <w:rPr>
          <w:rtl w:val="0"/>
        </w:rPr>
      </w:r>
    </w:p>
    <w:p w:rsidR="00000000" w:rsidDel="00000000" w:rsidP="00000000" w:rsidRDefault="00000000" w:rsidRPr="00000000" w14:paraId="0000006E">
      <w:pPr>
        <w:spacing w:after="160" w:lineRule="auto"/>
        <w:rPr/>
      </w:pPr>
      <w:r>
        <w:rPr>
          <w:rFonts w:ascii="Arial" w:cs="Arial" w:eastAsia="Arial" w:hAnsi="Arial"/>
          <w:color w:val="000000"/>
          <w:sz w:val="22"/>
          <w:szCs w:val="22"/>
          <w:rtl w:val="0"/>
        </w:rPr>
        <w:t xml:space="preserve">The Foundation’s core administrative functions include board governance, executive leadership (CEO/Executive Director), legal counsel, financial management, human resources, fundraising and Development Partner relations, and general administration. The Foundation Operations budget line (~$8.5M across 7 Programme Years) covers these functions.</w:t>
      </w:r>
      <w:r>
        <w:rPr>
          <w:rtl w:val="0"/>
        </w:rPr>
      </w:r>
    </w:p>
    <w:p w:rsidR="00000000" w:rsidDel="00000000" w:rsidP="00000000" w:rsidRDefault="00000000" w:rsidRPr="00000000" w14:paraId="0000006F">
      <w:pPr>
        <w:rPr/>
      </w:pPr>
      <w:r>
        <w:br w:type="page"/>
      </w:r>
      <w:r>
        <w:rPr>
          <w:rtl w:val="0"/>
        </w:rPr>
      </w:r>
    </w:p>
    <w:p w:rsidR="00000000" w:rsidDel="00000000" w:rsidP="00000000" w:rsidRDefault="00000000" w:rsidRPr="00000000" w14:paraId="00000070">
      <w:pPr>
        <w:pStyle w:val="Heading1"/>
        <w:spacing w:after="200" w:before="360" w:lineRule="auto"/>
        <w:rPr/>
      </w:pPr>
      <w:r>
        <w:rPr>
          <w:rFonts w:ascii="Arial" w:cs="Arial" w:eastAsia="Arial" w:hAnsi="Arial"/>
          <w:b w:val="1"/>
          <w:bCs w:val="1"/>
          <w:color w:val="1f3864"/>
          <w:sz w:val="32"/>
          <w:szCs w:val="32"/>
          <w:rtl w:val="0"/>
        </w:rPr>
        <w:t xml:space="preserve">4. Revenue Model</w:t>
      </w:r>
      <w:r>
        <w:rPr>
          <w:rtl w:val="0"/>
        </w:rPr>
      </w:r>
    </w:p>
    <w:p w:rsidR="00000000" w:rsidDel="00000000" w:rsidP="00000000" w:rsidRDefault="00000000" w:rsidRPr="00000000" w14:paraId="00000071">
      <w:pPr>
        <w:spacing w:after="160" w:lineRule="auto"/>
        <w:rPr/>
      </w:pPr>
      <w:r>
        <w:rPr>
          <w:rFonts w:ascii="Arial" w:cs="Arial" w:eastAsia="Arial" w:hAnsi="Arial"/>
          <w:color w:val="000000"/>
          <w:sz w:val="22"/>
          <w:szCs w:val="22"/>
          <w:rtl w:val="0"/>
        </w:rPr>
        <w:t xml:space="preserve">The Foundation’s revenue model follows a deliberate bridge-to-sustainability trajectory (see Essay 08, RESPECT’s Economic Model, and the Breakthrough Financial Model): Development Partner funding provides a temporary bridge during Programme Years 1–7. Trademark and SpoDit revenue are zero during Tranche 1 (Y1–Y2), then follow an S-curve from Y3, reaching full self-funding at Y7.</w:t>
      </w:r>
      <w:r>
        <w:rPr>
          <w:rtl w:val="0"/>
        </w:rPr>
      </w:r>
    </w:p>
    <w:p w:rsidR="00000000" w:rsidDel="00000000" w:rsidP="00000000" w:rsidRDefault="00000000" w:rsidRPr="00000000" w14:paraId="00000072">
      <w:pPr>
        <w:pStyle w:val="Heading2"/>
        <w:spacing w:after="160" w:before="280" w:lineRule="auto"/>
        <w:rPr/>
      </w:pPr>
      <w:r>
        <w:rPr>
          <w:rFonts w:ascii="Arial" w:cs="Arial" w:eastAsia="Arial" w:hAnsi="Arial"/>
          <w:b w:val="1"/>
          <w:bCs w:val="1"/>
          <w:color w:val="2f5496"/>
          <w:sz w:val="26"/>
          <w:szCs w:val="26"/>
          <w:rtl w:val="0"/>
        </w:rPr>
        <w:t xml:space="preserve">4.1 Revenue Streams</w:t>
      </w:r>
      <w:r>
        <w:rPr>
          <w:rtl w:val="0"/>
        </w:rPr>
      </w:r>
    </w:p>
    <w:p w:rsidR="00000000" w:rsidDel="00000000" w:rsidP="00000000" w:rsidRDefault="00000000" w:rsidRPr="00000000" w14:paraId="00000073">
      <w:pPr>
        <w:spacing w:after="160" w:lineRule="auto"/>
        <w:rPr/>
      </w:pPr>
      <w:r>
        <w:rPr>
          <w:rFonts w:ascii="Arial" w:cs="Arial" w:eastAsia="Arial" w:hAnsi="Arial"/>
          <w:color w:val="000000"/>
          <w:sz w:val="22"/>
          <w:szCs w:val="22"/>
          <w:rtl w:val="0"/>
        </w:rPr>
        <w:t xml:space="preserve">The Foundation’s direct revenue comes from four trademark-based streams, each of which has independently sustained comparable nonprofit platform organizations at global scale:</w:t>
      </w:r>
      <w:r>
        <w:rPr>
          <w:rtl w:val="0"/>
        </w:rPr>
      </w:r>
    </w:p>
    <w:p w:rsidR="00000000" w:rsidDel="00000000" w:rsidP="00000000" w:rsidRDefault="00000000" w:rsidRPr="00000000" w14:paraId="00000074">
      <w:pPr>
        <w:pStyle w:val="Heading3"/>
        <w:spacing w:after="120" w:before="200" w:lineRule="auto"/>
        <w:rPr/>
      </w:pPr>
      <w:r>
        <w:rPr>
          <w:rFonts w:ascii="Arial" w:cs="Arial" w:eastAsia="Arial" w:hAnsi="Arial"/>
          <w:b w:val="1"/>
          <w:bCs w:val="1"/>
          <w:color w:val="2f5496"/>
          <w:sz w:val="22"/>
          <w:szCs w:val="22"/>
          <w:rtl w:val="0"/>
        </w:rPr>
        <w:t xml:space="preserve">4.1.1 RESPECT Certified Partners™ Royalties</w:t>
      </w:r>
      <w:r>
        <w:rPr>
          <w:rtl w:val="0"/>
        </w:rPr>
      </w:r>
    </w:p>
    <w:p w:rsidR="00000000" w:rsidDel="00000000" w:rsidP="00000000" w:rsidRDefault="00000000" w:rsidRPr="00000000" w14:paraId="00000075">
      <w:pPr>
        <w:spacing w:after="160" w:lineRule="auto"/>
        <w:rPr/>
      </w:pPr>
      <w:r>
        <w:rPr>
          <w:rFonts w:ascii="Arial" w:cs="Arial" w:eastAsia="Arial" w:hAnsi="Arial"/>
          <w:color w:val="000000"/>
          <w:sz w:val="22"/>
          <w:szCs w:val="22"/>
          <w:rtl w:val="0"/>
        </w:rPr>
        <w:t xml:space="preserve">Trained and certified independent service providers pay a royalty (typically 10% of gross revenue) to offer services under the RESPECT Certified Partners™ trademark. This single revenue stream funded nearly 100% of Moodle’s core software development for over a decade (pre-2017). Comparable models: Kubernetes, NextCloud, Red Hat.</w:t>
      </w:r>
      <w:r>
        <w:rPr>
          <w:rtl w:val="0"/>
        </w:rPr>
      </w:r>
    </w:p>
    <w:p w:rsidR="00000000" w:rsidDel="00000000" w:rsidP="00000000" w:rsidRDefault="00000000" w:rsidRPr="00000000" w14:paraId="00000076">
      <w:pPr>
        <w:pStyle w:val="Heading3"/>
        <w:spacing w:after="120" w:before="200" w:lineRule="auto"/>
        <w:rPr/>
      </w:pPr>
      <w:r>
        <w:rPr>
          <w:rFonts w:ascii="Arial" w:cs="Arial" w:eastAsia="Arial" w:hAnsi="Arial"/>
          <w:b w:val="1"/>
          <w:bCs w:val="1"/>
          <w:color w:val="2f5496"/>
          <w:sz w:val="22"/>
          <w:szCs w:val="22"/>
          <w:rtl w:val="0"/>
        </w:rPr>
        <w:t xml:space="preserve">4.1.2 Product Developer Certification Fees</w:t>
      </w:r>
      <w:r>
        <w:rPr>
          <w:rtl w:val="0"/>
        </w:rPr>
      </w:r>
    </w:p>
    <w:p w:rsidR="00000000" w:rsidDel="00000000" w:rsidP="00000000" w:rsidRDefault="00000000" w:rsidRPr="00000000" w14:paraId="00000077">
      <w:pPr>
        <w:spacing w:after="160" w:lineRule="auto"/>
        <w:rPr/>
      </w:pPr>
      <w:r>
        <w:rPr>
          <w:rFonts w:ascii="Arial" w:cs="Arial" w:eastAsia="Arial" w:hAnsi="Arial"/>
          <w:color w:val="000000"/>
          <w:sz w:val="22"/>
          <w:szCs w:val="22"/>
          <w:rtl w:val="0"/>
        </w:rPr>
        <w:t xml:space="preserve">Independent developers pay certification fees to verify their products meet RESPECT Compatible™ standards. This follows the LEED®/GBCI model, where certification fees generate tens of millions annually (nearly 100% of GBCI’s revenue). Comparable models: B-Corp, Bluetooth®, Marine Stewardship Council.</w:t>
      </w:r>
      <w:r>
        <w:rPr>
          <w:rtl w:val="0"/>
        </w:rPr>
      </w:r>
    </w:p>
    <w:p w:rsidR="00000000" w:rsidDel="00000000" w:rsidP="00000000" w:rsidRDefault="00000000" w:rsidRPr="00000000" w14:paraId="00000078">
      <w:pPr>
        <w:pStyle w:val="Heading3"/>
        <w:spacing w:after="120" w:before="200" w:lineRule="auto"/>
        <w:rPr/>
      </w:pPr>
      <w:r>
        <w:rPr>
          <w:rFonts w:ascii="Arial" w:cs="Arial" w:eastAsia="Arial" w:hAnsi="Arial"/>
          <w:b w:val="1"/>
          <w:bCs w:val="1"/>
          <w:color w:val="2f5496"/>
          <w:sz w:val="22"/>
          <w:szCs w:val="22"/>
          <w:rtl w:val="0"/>
        </w:rPr>
        <w:t xml:space="preserve">4.1.3 Branded Merchandise and Partnerships</w:t>
      </w:r>
      <w:r>
        <w:rPr>
          <w:rtl w:val="0"/>
        </w:rPr>
      </w:r>
    </w:p>
    <w:p w:rsidR="00000000" w:rsidDel="00000000" w:rsidP="00000000" w:rsidRDefault="00000000" w:rsidRPr="00000000" w14:paraId="00000079">
      <w:pPr>
        <w:spacing w:after="160" w:lineRule="auto"/>
        <w:rPr/>
      </w:pPr>
      <w:r>
        <w:rPr>
          <w:rFonts w:ascii="Arial" w:cs="Arial" w:eastAsia="Arial" w:hAnsi="Arial"/>
          <w:color w:val="000000"/>
          <w:sz w:val="22"/>
          <w:szCs w:val="22"/>
          <w:rtl w:val="0"/>
        </w:rPr>
        <w:t xml:space="preserve">Companies license the RESPECT brand to signal support for resolving Africa’s education crisis, following the Product (RED) model (which has generated tens of millions of dollars per year). Comparable models: American Heart Association, World Wildlife Fund.</w:t>
      </w:r>
      <w:r>
        <w:rPr>
          <w:rtl w:val="0"/>
        </w:rPr>
      </w:r>
    </w:p>
    <w:p w:rsidR="00000000" w:rsidDel="00000000" w:rsidP="00000000" w:rsidRDefault="00000000" w:rsidRPr="00000000" w14:paraId="0000007A">
      <w:pPr>
        <w:pStyle w:val="Heading3"/>
        <w:spacing w:after="120" w:before="200" w:lineRule="auto"/>
        <w:rPr/>
      </w:pPr>
      <w:r>
        <w:rPr>
          <w:rFonts w:ascii="Arial" w:cs="Arial" w:eastAsia="Arial" w:hAnsi="Arial"/>
          <w:b w:val="1"/>
          <w:bCs w:val="1"/>
          <w:color w:val="2f5496"/>
          <w:sz w:val="22"/>
          <w:szCs w:val="22"/>
          <w:rtl w:val="0"/>
        </w:rPr>
        <w:t xml:space="preserve">4.1.4 Events, Training, and Certification Services</w:t>
      </w:r>
      <w:r>
        <w:rPr>
          <w:rtl w:val="0"/>
        </w:rPr>
      </w:r>
    </w:p>
    <w:p w:rsidR="00000000" w:rsidDel="00000000" w:rsidP="00000000" w:rsidRDefault="00000000" w:rsidRPr="00000000" w14:paraId="0000007B">
      <w:pPr>
        <w:spacing w:after="160" w:lineRule="auto"/>
        <w:rPr/>
      </w:pPr>
      <w:r>
        <w:rPr>
          <w:rFonts w:ascii="Arial" w:cs="Arial" w:eastAsia="Arial" w:hAnsi="Arial"/>
          <w:color w:val="000000"/>
          <w:sz w:val="22"/>
          <w:szCs w:val="22"/>
          <w:rtl w:val="0"/>
        </w:rPr>
        <w:t xml:space="preserve">The Foundation delivers branded events, programs, and certification examinations under the RESPECT brand. At the Linux Foundation, events and training alone generate ~$87M annually. Comparable models: W3C, Scrum Alliance, Project Management Institute.</w:t>
      </w:r>
      <w:r>
        <w:rPr>
          <w:rtl w:val="0"/>
        </w:rPr>
      </w:r>
    </w:p>
    <w:p w:rsidR="00000000" w:rsidDel="00000000" w:rsidP="00000000" w:rsidRDefault="00000000" w:rsidRPr="00000000" w14:paraId="0000007C">
      <w:pPr>
        <w:pStyle w:val="Heading2"/>
        <w:spacing w:after="160" w:before="280" w:lineRule="auto"/>
        <w:rPr/>
      </w:pPr>
      <w:r>
        <w:rPr>
          <w:rFonts w:ascii="Arial" w:cs="Arial" w:eastAsia="Arial" w:hAnsi="Arial"/>
          <w:b w:val="1"/>
          <w:bCs w:val="1"/>
          <w:color w:val="2f5496"/>
          <w:sz w:val="26"/>
          <w:szCs w:val="26"/>
          <w:rtl w:val="0"/>
        </w:rPr>
        <w:t xml:space="preserve">4.2 Platform Funding Transition</w:t>
      </w:r>
      <w:r>
        <w:rPr>
          <w:rtl w:val="0"/>
        </w:rPr>
      </w:r>
    </w:p>
    <w:p w:rsidR="00000000" w:rsidDel="00000000" w:rsidP="00000000" w:rsidRDefault="00000000" w:rsidRPr="00000000" w14:paraId="0000007D">
      <w:pPr>
        <w:spacing w:after="160" w:lineRule="auto"/>
        <w:rPr/>
      </w:pPr>
      <w:r>
        <w:rPr>
          <w:rFonts w:ascii="Arial" w:cs="Arial" w:eastAsia="Arial" w:hAnsi="Arial"/>
          <w:color w:val="000000"/>
          <w:sz w:val="22"/>
          <w:szCs w:val="22"/>
          <w:rtl w:val="0"/>
        </w:rPr>
        <w:t xml:space="preserve">The table below shows the planned transition from Development Partner funding to trademark revenue. Total Platform funding is capped at $25M/yr; trademark revenue displaces DP funding rather than expanding expenditures.</w:t>
      </w:r>
      <w:r>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2400"/>
        <w:gridCol w:w="2400"/>
        <w:gridCol w:w="2360"/>
        <w:tblGridChange w:id="0">
          <w:tblGrid>
            <w:gridCol w:w="2200"/>
            <w:gridCol w:w="2400"/>
            <w:gridCol w:w="2400"/>
            <w:gridCol w:w="2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3864" w:val="clear"/>
            <w:tcMar>
              <w:top w:w="80.0" w:type="dxa"/>
              <w:left w:w="120.0" w:type="dxa"/>
              <w:bottom w:w="80.0" w:type="dxa"/>
              <w:right w:w="120.0" w:type="dxa"/>
            </w:tcMar>
            <w:vAlign w:val="center"/>
          </w:tcPr>
          <w:p w:rsidR="00000000" w:rsidDel="00000000" w:rsidP="00000000" w:rsidRDefault="00000000" w:rsidRPr="00000000" w14:paraId="0000007E">
            <w:pPr>
              <w:rPr/>
            </w:pPr>
            <w:r>
              <w:rPr>
                <w:rFonts w:ascii="Arial" w:cs="Arial" w:eastAsia="Arial" w:hAnsi="Arial"/>
                <w:b w:val="1"/>
                <w:bCs w:val="1"/>
                <w:color w:val="ffffff"/>
                <w:sz w:val="20"/>
                <w:szCs w:val="20"/>
                <w:rtl w:val="0"/>
              </w:rPr>
              <w:t xml:space="preserve">Programme Year</w:t>
            </w:r>
            <w:r>
              <w:rPr>
                <w:rtl w:val="0"/>
              </w:rPr>
            </w:r>
          </w:p>
        </w:tc>
        <w:tc>
          <w:tcPr>
            <w:tcBorders>
              <w:top w:color="cccccc" w:space="0" w:sz="4" w:val="single"/>
              <w:left w:color="cccccc" w:space="0" w:sz="4" w:val="single"/>
              <w:bottom w:color="cccccc" w:space="0" w:sz="4" w:val="single"/>
              <w:right w:color="cccccc" w:space="0" w:sz="4" w:val="single"/>
            </w:tcBorders>
            <w:shd w:fill="1f3864" w:val="clear"/>
            <w:tcMar>
              <w:top w:w="80.0" w:type="dxa"/>
              <w:left w:w="120.0" w:type="dxa"/>
              <w:bottom w:w="80.0" w:type="dxa"/>
              <w:right w:w="120.0" w:type="dxa"/>
            </w:tcMar>
            <w:vAlign w:val="center"/>
          </w:tcPr>
          <w:p w:rsidR="00000000" w:rsidDel="00000000" w:rsidP="00000000" w:rsidRDefault="00000000" w:rsidRPr="00000000" w14:paraId="0000007F">
            <w:pPr>
              <w:rPr/>
            </w:pPr>
            <w:r>
              <w:rPr>
                <w:rFonts w:ascii="Arial" w:cs="Arial" w:eastAsia="Arial" w:hAnsi="Arial"/>
                <w:b w:val="1"/>
                <w:bCs w:val="1"/>
                <w:color w:val="ffffff"/>
                <w:sz w:val="20"/>
                <w:szCs w:val="20"/>
                <w:rtl w:val="0"/>
              </w:rPr>
              <w:t xml:space="preserve">Trademark Revenue ($M)</w:t>
            </w:r>
            <w:r>
              <w:rPr>
                <w:rtl w:val="0"/>
              </w:rPr>
            </w:r>
          </w:p>
        </w:tc>
        <w:tc>
          <w:tcPr>
            <w:tcBorders>
              <w:top w:color="cccccc" w:space="0" w:sz="4" w:val="single"/>
              <w:left w:color="cccccc" w:space="0" w:sz="4" w:val="single"/>
              <w:bottom w:color="cccccc" w:space="0" w:sz="4" w:val="single"/>
              <w:right w:color="cccccc" w:space="0" w:sz="4" w:val="single"/>
            </w:tcBorders>
            <w:shd w:fill="1f3864" w:val="clear"/>
            <w:tcMar>
              <w:top w:w="80.0" w:type="dxa"/>
              <w:left w:w="120.0" w:type="dxa"/>
              <w:bottom w:w="80.0" w:type="dxa"/>
              <w:right w:w="120.0" w:type="dxa"/>
            </w:tcMar>
            <w:vAlign w:val="center"/>
          </w:tcPr>
          <w:p w:rsidR="00000000" w:rsidDel="00000000" w:rsidP="00000000" w:rsidRDefault="00000000" w:rsidRPr="00000000" w14:paraId="00000080">
            <w:pPr>
              <w:rPr/>
            </w:pPr>
            <w:r>
              <w:rPr>
                <w:rFonts w:ascii="Arial" w:cs="Arial" w:eastAsia="Arial" w:hAnsi="Arial"/>
                <w:b w:val="1"/>
                <w:bCs w:val="1"/>
                <w:color w:val="ffffff"/>
                <w:sz w:val="20"/>
                <w:szCs w:val="20"/>
                <w:rtl w:val="0"/>
              </w:rPr>
              <w:t xml:space="preserve">Platform DP Bridge ($M)</w:t>
            </w:r>
            <w:r>
              <w:rPr>
                <w:rtl w:val="0"/>
              </w:rPr>
            </w:r>
          </w:p>
        </w:tc>
        <w:tc>
          <w:tcPr>
            <w:tcBorders>
              <w:top w:color="cccccc" w:space="0" w:sz="4" w:val="single"/>
              <w:left w:color="cccccc" w:space="0" w:sz="4" w:val="single"/>
              <w:bottom w:color="cccccc" w:space="0" w:sz="4" w:val="single"/>
              <w:right w:color="cccccc" w:space="0" w:sz="4" w:val="single"/>
            </w:tcBorders>
            <w:shd w:fill="1f3864" w:val="clear"/>
            <w:tcMar>
              <w:top w:w="80.0" w:type="dxa"/>
              <w:left w:w="120.0" w:type="dxa"/>
              <w:bottom w:w="80.0" w:type="dxa"/>
              <w:right w:w="120.0" w:type="dxa"/>
            </w:tcMar>
            <w:vAlign w:val="center"/>
          </w:tcPr>
          <w:p w:rsidR="00000000" w:rsidDel="00000000" w:rsidP="00000000" w:rsidRDefault="00000000" w:rsidRPr="00000000" w14:paraId="00000081">
            <w:pPr>
              <w:rPr/>
            </w:pPr>
            <w:r>
              <w:rPr>
                <w:rFonts w:ascii="Arial" w:cs="Arial" w:eastAsia="Arial" w:hAnsi="Arial"/>
                <w:b w:val="1"/>
                <w:bCs w:val="1"/>
                <w:color w:val="ffffff"/>
                <w:sz w:val="20"/>
                <w:szCs w:val="20"/>
                <w:rtl w:val="0"/>
              </w:rPr>
              <w:t xml:space="preserve">Total Platform Funding ($M)</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82">
            <w:pPr>
              <w:rPr/>
            </w:pPr>
            <w:r>
              <w:rPr>
                <w:rFonts w:ascii="Arial" w:cs="Arial" w:eastAsia="Arial" w:hAnsi="Arial"/>
                <w:b w:val="0"/>
                <w:bCs w:val="0"/>
                <w:color w:val="000000"/>
                <w:sz w:val="20"/>
                <w:szCs w:val="20"/>
                <w:rtl w:val="0"/>
              </w:rPr>
              <w:t xml:space="preserve">Y1</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83">
            <w:pPr>
              <w:rPr/>
            </w:pPr>
            <w:r>
              <w:rPr>
                <w:rFonts w:ascii="Arial" w:cs="Arial" w:eastAsia="Arial" w:hAnsi="Arial"/>
                <w:b w:val="0"/>
                <w:bCs w:val="0"/>
                <w:color w:val="000000"/>
                <w:sz w:val="20"/>
                <w:szCs w:val="20"/>
                <w:rtl w:val="0"/>
              </w:rPr>
              <w:t xml:space="preserve">0.0</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84">
            <w:pPr>
              <w:rPr/>
            </w:pPr>
            <w:r>
              <w:rPr>
                <w:rFonts w:ascii="Arial" w:cs="Arial" w:eastAsia="Arial" w:hAnsi="Arial"/>
                <w:b w:val="0"/>
                <w:bCs w:val="0"/>
                <w:color w:val="000000"/>
                <w:sz w:val="20"/>
                <w:szCs w:val="20"/>
                <w:rtl w:val="0"/>
              </w:rPr>
              <w:t xml:space="preserve">5.0</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85">
            <w:pPr>
              <w:rPr/>
            </w:pPr>
            <w:r>
              <w:rPr>
                <w:rFonts w:ascii="Arial" w:cs="Arial" w:eastAsia="Arial" w:hAnsi="Arial"/>
                <w:b w:val="0"/>
                <w:bCs w:val="0"/>
                <w:color w:val="000000"/>
                <w:sz w:val="20"/>
                <w:szCs w:val="20"/>
                <w:rtl w:val="0"/>
              </w:rPr>
              <w:t xml:space="preserve">5.0</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86">
            <w:pPr>
              <w:rPr/>
            </w:pPr>
            <w:r>
              <w:rPr>
                <w:rFonts w:ascii="Arial" w:cs="Arial" w:eastAsia="Arial" w:hAnsi="Arial"/>
                <w:b w:val="0"/>
                <w:bCs w:val="0"/>
                <w:color w:val="000000"/>
                <w:sz w:val="20"/>
                <w:szCs w:val="20"/>
                <w:rtl w:val="0"/>
              </w:rPr>
              <w:t xml:space="preserve">Y2</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87">
            <w:pPr>
              <w:rPr/>
            </w:pPr>
            <w:r>
              <w:rPr>
                <w:rFonts w:ascii="Arial" w:cs="Arial" w:eastAsia="Arial" w:hAnsi="Arial"/>
                <w:b w:val="0"/>
                <w:bCs w:val="0"/>
                <w:color w:val="000000"/>
                <w:sz w:val="20"/>
                <w:szCs w:val="20"/>
                <w:rtl w:val="0"/>
              </w:rPr>
              <w:t xml:space="preserve">0.0</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88">
            <w:pPr>
              <w:rPr/>
            </w:pPr>
            <w:r>
              <w:rPr>
                <w:rFonts w:ascii="Arial" w:cs="Arial" w:eastAsia="Arial" w:hAnsi="Arial"/>
                <w:b w:val="0"/>
                <w:bCs w:val="0"/>
                <w:color w:val="000000"/>
                <w:sz w:val="20"/>
                <w:szCs w:val="20"/>
                <w:rtl w:val="0"/>
              </w:rPr>
              <w:t xml:space="preserve">10.0</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89">
            <w:pPr>
              <w:rPr/>
            </w:pPr>
            <w:r>
              <w:rPr>
                <w:rFonts w:ascii="Arial" w:cs="Arial" w:eastAsia="Arial" w:hAnsi="Arial"/>
                <w:b w:val="0"/>
                <w:bCs w:val="0"/>
                <w:color w:val="000000"/>
                <w:sz w:val="20"/>
                <w:szCs w:val="20"/>
                <w:rtl w:val="0"/>
              </w:rPr>
              <w:t xml:space="preserve">10.0</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8A">
            <w:pPr>
              <w:rPr/>
            </w:pPr>
            <w:r>
              <w:rPr>
                <w:rFonts w:ascii="Arial" w:cs="Arial" w:eastAsia="Arial" w:hAnsi="Arial"/>
                <w:b w:val="0"/>
                <w:bCs w:val="0"/>
                <w:color w:val="000000"/>
                <w:sz w:val="20"/>
                <w:szCs w:val="20"/>
                <w:rtl w:val="0"/>
              </w:rPr>
              <w:t xml:space="preserve">Y3</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8B">
            <w:pPr>
              <w:rPr/>
            </w:pPr>
            <w:r>
              <w:rPr>
                <w:rFonts w:ascii="Arial" w:cs="Arial" w:eastAsia="Arial" w:hAnsi="Arial"/>
                <w:b w:val="0"/>
                <w:bCs w:val="0"/>
                <w:color w:val="000000"/>
                <w:sz w:val="20"/>
                <w:szCs w:val="20"/>
                <w:rtl w:val="0"/>
              </w:rPr>
              <w:t xml:space="preserve">0.5</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8C">
            <w:pPr>
              <w:rPr/>
            </w:pPr>
            <w:r>
              <w:rPr>
                <w:rFonts w:ascii="Arial" w:cs="Arial" w:eastAsia="Arial" w:hAnsi="Arial"/>
                <w:b w:val="0"/>
                <w:bCs w:val="0"/>
                <w:color w:val="000000"/>
                <w:sz w:val="20"/>
                <w:szCs w:val="20"/>
                <w:rtl w:val="0"/>
              </w:rPr>
              <w:t xml:space="preserve">19.5</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8D">
            <w:pPr>
              <w:rPr/>
            </w:pPr>
            <w:r>
              <w:rPr>
                <w:rFonts w:ascii="Arial" w:cs="Arial" w:eastAsia="Arial" w:hAnsi="Arial"/>
                <w:b w:val="0"/>
                <w:bCs w:val="0"/>
                <w:color w:val="000000"/>
                <w:sz w:val="20"/>
                <w:szCs w:val="20"/>
                <w:rtl w:val="0"/>
              </w:rPr>
              <w:t xml:space="preserve">20.0</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8E">
            <w:pPr>
              <w:rPr/>
            </w:pPr>
            <w:r>
              <w:rPr>
                <w:rFonts w:ascii="Arial" w:cs="Arial" w:eastAsia="Arial" w:hAnsi="Arial"/>
                <w:b w:val="0"/>
                <w:bCs w:val="0"/>
                <w:color w:val="000000"/>
                <w:sz w:val="20"/>
                <w:szCs w:val="20"/>
                <w:rtl w:val="0"/>
              </w:rPr>
              <w:t xml:space="preserve">Y4</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8F">
            <w:pPr>
              <w:rPr/>
            </w:pPr>
            <w:r>
              <w:rPr>
                <w:rFonts w:ascii="Arial" w:cs="Arial" w:eastAsia="Arial" w:hAnsi="Arial"/>
                <w:b w:val="0"/>
                <w:bCs w:val="0"/>
                <w:color w:val="000000"/>
                <w:sz w:val="20"/>
                <w:szCs w:val="20"/>
                <w:rtl w:val="0"/>
              </w:rPr>
              <w:t xml:space="preserve">2.5</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90">
            <w:pPr>
              <w:rPr/>
            </w:pPr>
            <w:r>
              <w:rPr>
                <w:rFonts w:ascii="Arial" w:cs="Arial" w:eastAsia="Arial" w:hAnsi="Arial"/>
                <w:b w:val="0"/>
                <w:bCs w:val="0"/>
                <w:color w:val="000000"/>
                <w:sz w:val="20"/>
                <w:szCs w:val="20"/>
                <w:rtl w:val="0"/>
              </w:rPr>
              <w:t xml:space="preserve">22.5</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91">
            <w:pPr>
              <w:rPr/>
            </w:pPr>
            <w:r>
              <w:rPr>
                <w:rFonts w:ascii="Arial" w:cs="Arial" w:eastAsia="Arial" w:hAnsi="Arial"/>
                <w:b w:val="0"/>
                <w:bCs w:val="0"/>
                <w:color w:val="000000"/>
                <w:sz w:val="20"/>
                <w:szCs w:val="20"/>
                <w:rtl w:val="0"/>
              </w:rPr>
              <w:t xml:space="preserve">25.0</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92">
            <w:pPr>
              <w:rPr/>
            </w:pPr>
            <w:r>
              <w:rPr>
                <w:rFonts w:ascii="Arial" w:cs="Arial" w:eastAsia="Arial" w:hAnsi="Arial"/>
                <w:b w:val="0"/>
                <w:bCs w:val="0"/>
                <w:color w:val="000000"/>
                <w:sz w:val="20"/>
                <w:szCs w:val="20"/>
                <w:rtl w:val="0"/>
              </w:rPr>
              <w:t xml:space="preserve">Y5</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93">
            <w:pPr>
              <w:rPr/>
            </w:pPr>
            <w:r>
              <w:rPr>
                <w:rFonts w:ascii="Arial" w:cs="Arial" w:eastAsia="Arial" w:hAnsi="Arial"/>
                <w:b w:val="0"/>
                <w:bCs w:val="0"/>
                <w:color w:val="000000"/>
                <w:sz w:val="20"/>
                <w:szCs w:val="20"/>
                <w:rtl w:val="0"/>
              </w:rPr>
              <w:t xml:space="preserve">8.0</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94">
            <w:pPr>
              <w:rPr/>
            </w:pPr>
            <w:r>
              <w:rPr>
                <w:rFonts w:ascii="Arial" w:cs="Arial" w:eastAsia="Arial" w:hAnsi="Arial"/>
                <w:b w:val="0"/>
                <w:bCs w:val="0"/>
                <w:color w:val="000000"/>
                <w:sz w:val="20"/>
                <w:szCs w:val="20"/>
                <w:rtl w:val="0"/>
              </w:rPr>
              <w:t xml:space="preserve">17.0</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95">
            <w:pPr>
              <w:rPr/>
            </w:pPr>
            <w:r>
              <w:rPr>
                <w:rFonts w:ascii="Arial" w:cs="Arial" w:eastAsia="Arial" w:hAnsi="Arial"/>
                <w:b w:val="0"/>
                <w:bCs w:val="0"/>
                <w:color w:val="000000"/>
                <w:sz w:val="20"/>
                <w:szCs w:val="20"/>
                <w:rtl w:val="0"/>
              </w:rPr>
              <w:t xml:space="preserve">25.0</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96">
            <w:pPr>
              <w:rPr/>
            </w:pPr>
            <w:r>
              <w:rPr>
                <w:rFonts w:ascii="Arial" w:cs="Arial" w:eastAsia="Arial" w:hAnsi="Arial"/>
                <w:b w:val="0"/>
                <w:bCs w:val="0"/>
                <w:color w:val="000000"/>
                <w:sz w:val="20"/>
                <w:szCs w:val="20"/>
                <w:rtl w:val="0"/>
              </w:rPr>
              <w:t xml:space="preserve">Y6</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97">
            <w:pPr>
              <w:rPr/>
            </w:pPr>
            <w:r>
              <w:rPr>
                <w:rFonts w:ascii="Arial" w:cs="Arial" w:eastAsia="Arial" w:hAnsi="Arial"/>
                <w:b w:val="0"/>
                <w:bCs w:val="0"/>
                <w:color w:val="000000"/>
                <w:sz w:val="20"/>
                <w:szCs w:val="20"/>
                <w:rtl w:val="0"/>
              </w:rPr>
              <w:t xml:space="preserve">17.0</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98">
            <w:pPr>
              <w:rPr/>
            </w:pPr>
            <w:r>
              <w:rPr>
                <w:rFonts w:ascii="Arial" w:cs="Arial" w:eastAsia="Arial" w:hAnsi="Arial"/>
                <w:b w:val="0"/>
                <w:bCs w:val="0"/>
                <w:color w:val="000000"/>
                <w:sz w:val="20"/>
                <w:szCs w:val="20"/>
                <w:rtl w:val="0"/>
              </w:rPr>
              <w:t xml:space="preserve">8.0</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99">
            <w:pPr>
              <w:rPr/>
            </w:pPr>
            <w:r>
              <w:rPr>
                <w:rFonts w:ascii="Arial" w:cs="Arial" w:eastAsia="Arial" w:hAnsi="Arial"/>
                <w:b w:val="0"/>
                <w:bCs w:val="0"/>
                <w:color w:val="000000"/>
                <w:sz w:val="20"/>
                <w:szCs w:val="20"/>
                <w:rtl w:val="0"/>
              </w:rPr>
              <w:t xml:space="preserve">25.0</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9A">
            <w:pPr>
              <w:rPr/>
            </w:pPr>
            <w:r>
              <w:rPr>
                <w:rFonts w:ascii="Arial" w:cs="Arial" w:eastAsia="Arial" w:hAnsi="Arial"/>
                <w:b w:val="0"/>
                <w:bCs w:val="0"/>
                <w:color w:val="000000"/>
                <w:sz w:val="20"/>
                <w:szCs w:val="20"/>
                <w:rtl w:val="0"/>
              </w:rPr>
              <w:t xml:space="preserve">Y7</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9B">
            <w:pPr>
              <w:rPr/>
            </w:pPr>
            <w:r>
              <w:rPr>
                <w:rFonts w:ascii="Arial" w:cs="Arial" w:eastAsia="Arial" w:hAnsi="Arial"/>
                <w:b w:val="0"/>
                <w:bCs w:val="0"/>
                <w:color w:val="000000"/>
                <w:sz w:val="20"/>
                <w:szCs w:val="20"/>
                <w:rtl w:val="0"/>
              </w:rPr>
              <w:t xml:space="preserve">25.0</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9C">
            <w:pPr>
              <w:rPr/>
            </w:pPr>
            <w:r>
              <w:rPr>
                <w:rFonts w:ascii="Arial" w:cs="Arial" w:eastAsia="Arial" w:hAnsi="Arial"/>
                <w:b w:val="0"/>
                <w:bCs w:val="0"/>
                <w:color w:val="000000"/>
                <w:sz w:val="20"/>
                <w:szCs w:val="20"/>
                <w:rtl w:val="0"/>
              </w:rPr>
              <w:t xml:space="preserve">0.0</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9D">
            <w:pPr>
              <w:rPr/>
            </w:pPr>
            <w:r>
              <w:rPr>
                <w:rFonts w:ascii="Arial" w:cs="Arial" w:eastAsia="Arial" w:hAnsi="Arial"/>
                <w:b w:val="0"/>
                <w:bCs w:val="0"/>
                <w:color w:val="000000"/>
                <w:sz w:val="20"/>
                <w:szCs w:val="20"/>
                <w:rtl w:val="0"/>
              </w:rPr>
              <w:t xml:space="preserve">25.0</w:t>
            </w:r>
            <w:r>
              <w:rPr>
                <w:rtl w:val="0"/>
              </w:rPr>
            </w:r>
          </w:p>
        </w:tc>
      </w:tr>
    </w:tbl>
    <w:p w:rsidR="00000000" w:rsidDel="00000000" w:rsidP="00000000" w:rsidRDefault="00000000" w:rsidRPr="00000000" w14:paraId="0000009E">
      <w:pPr>
        <w:spacing w:after="160" w:lineRule="auto"/>
        <w:rPr/>
      </w:pPr>
      <w:r>
        <w:rPr>
          <w:rtl w:val="0"/>
        </w:rPr>
      </w:r>
    </w:p>
    <w:p w:rsidR="00000000" w:rsidDel="00000000" w:rsidP="00000000" w:rsidRDefault="00000000" w:rsidRPr="00000000" w14:paraId="0000009F">
      <w:pPr>
        <w:spacing w:after="160" w:lineRule="auto"/>
        <w:rPr/>
      </w:pPr>
      <w:r>
        <w:rPr>
          <w:rFonts w:ascii="Arial" w:cs="Arial" w:eastAsia="Arial" w:hAnsi="Arial"/>
          <w:color w:val="000000"/>
          <w:sz w:val="22"/>
          <w:szCs w:val="22"/>
          <w:rtl w:val="0"/>
        </w:rPr>
        <w:t xml:space="preserve">Three properties of this structure are intentional. First, all earned revenue is zero during Tranche 1—six pilot countries cannot generate meaningful trademark or SpoDit income, and the model does not pretend otherwise. Second, revenue follows an S-curve: slow in Y3–Y4, accelerating through Y5–Y6, reaching targets at Y7. Third, DP funding is strictly transitional—it declines as earned revenue grows, reaching zero at Y7.</w:t>
      </w:r>
      <w:r>
        <w:rPr>
          <w:rtl w:val="0"/>
        </w:rPr>
      </w:r>
    </w:p>
    <w:p w:rsidR="00000000" w:rsidDel="00000000" w:rsidP="00000000" w:rsidRDefault="00000000" w:rsidRPr="00000000" w14:paraId="000000A0">
      <w:pPr>
        <w:pStyle w:val="Heading2"/>
        <w:spacing w:after="160" w:before="280" w:lineRule="auto"/>
        <w:rPr/>
      </w:pPr>
      <w:r>
        <w:rPr>
          <w:rFonts w:ascii="Arial" w:cs="Arial" w:eastAsia="Arial" w:hAnsi="Arial"/>
          <w:b w:val="1"/>
          <w:bCs w:val="1"/>
          <w:color w:val="2f5496"/>
          <w:sz w:val="26"/>
          <w:szCs w:val="26"/>
          <w:rtl w:val="0"/>
        </w:rPr>
        <w:t xml:space="preserve">4.3 The Asset-Light Model</w:t>
      </w:r>
      <w:r>
        <w:rPr>
          <w:rtl w:val="0"/>
        </w:rPr>
      </w:r>
    </w:p>
    <w:p w:rsidR="00000000" w:rsidDel="00000000" w:rsidP="00000000" w:rsidRDefault="00000000" w:rsidRPr="00000000" w14:paraId="000000A1">
      <w:pPr>
        <w:spacing w:after="160" w:lineRule="auto"/>
        <w:rPr/>
      </w:pPr>
      <w:r>
        <w:rPr>
          <w:rFonts w:ascii="Arial" w:cs="Arial" w:eastAsia="Arial" w:hAnsi="Arial"/>
          <w:sz w:val="22"/>
          <w:szCs w:val="22"/>
          <w:rtl w:val="0"/>
        </w:rPr>
        <w:t xml:space="preserve">The Foundation’s cost structure benefits from the </w:t>
      </w:r>
      <w:r>
        <w:rPr>
          <w:rFonts w:ascii="Arial" w:cs="Arial" w:eastAsia="Arial" w:hAnsi="Arial"/>
          <w:b w:val="1"/>
          <w:bCs w:val="1"/>
          <w:sz w:val="22"/>
          <w:szCs w:val="22"/>
          <w:rtl w:val="0"/>
        </w:rPr>
        <w:t xml:space="preserve">asset-light model</w:t>
      </w:r>
      <w:r>
        <w:rPr>
          <w:rFonts w:ascii="Arial" w:cs="Arial" w:eastAsia="Arial" w:hAnsi="Arial"/>
          <w:sz w:val="22"/>
          <w:szCs w:val="22"/>
          <w:rtl w:val="0"/>
        </w:rPr>
        <w:t xml:space="preserve"> demonstrated by DHIS2/HISP in health (see Essay 04, Africa’s DPI Experience). The Foundation internalizes the fixed costs of platform stewardship (development, maintenance, governance) but externalizes the marginal costs of country-level deployment to RESPECT Certified Partners—independent local firms that train teachers, integrate software, and provide technical support under contract to Ministries of Education.</w:t>
      </w:r>
      <w:r>
        <w:rPr>
          <w:rtl w:val="0"/>
        </w:rPr>
      </w:r>
    </w:p>
    <w:p w:rsidR="00000000" w:rsidDel="00000000" w:rsidP="00000000" w:rsidRDefault="00000000" w:rsidRPr="00000000" w14:paraId="000000A2">
      <w:pPr>
        <w:spacing w:after="160" w:lineRule="auto"/>
        <w:rPr/>
      </w:pPr>
      <w:r>
        <w:rPr>
          <w:rFonts w:ascii="Arial" w:cs="Arial" w:eastAsia="Arial" w:hAnsi="Arial"/>
          <w:color w:val="000000"/>
          <w:sz w:val="22"/>
          <w:szCs w:val="22"/>
          <w:rtl w:val="0"/>
        </w:rPr>
        <w:t xml:space="preserve">This means the Foundation’s costs do not scale linearly with the number of countries served. The cost of stewarding the Platform is essentially the same whether it serves six countries or fifty-five. Country-level deployment costs are profitably borne by Certified Partners, paid from the savings Ministries realize from free courseware and simplified procurement.</w:t>
      </w:r>
      <w:r>
        <w:rPr>
          <w:rtl w:val="0"/>
        </w:rPr>
      </w:r>
    </w:p>
    <w:p w:rsidR="00000000" w:rsidDel="00000000" w:rsidP="00000000" w:rsidRDefault="00000000" w:rsidRPr="00000000" w14:paraId="000000A3">
      <w:pPr>
        <w:pStyle w:val="Heading2"/>
        <w:spacing w:after="160" w:before="280" w:lineRule="auto"/>
        <w:rPr/>
      </w:pPr>
      <w:r>
        <w:rPr>
          <w:rFonts w:ascii="Arial" w:cs="Arial" w:eastAsia="Arial" w:hAnsi="Arial"/>
          <w:b w:val="1"/>
          <w:bCs w:val="1"/>
          <w:color w:val="2f5496"/>
          <w:sz w:val="26"/>
          <w:szCs w:val="26"/>
          <w:rtl w:val="0"/>
        </w:rPr>
        <w:t xml:space="preserve">4.4 Ecosystem Fund (Indirect Revenue)</w:t>
      </w:r>
      <w:r>
        <w:rPr>
          <w:rtl w:val="0"/>
        </w:rPr>
      </w:r>
    </w:p>
    <w:p w:rsidR="00000000" w:rsidDel="00000000" w:rsidP="00000000" w:rsidRDefault="00000000" w:rsidRPr="00000000" w14:paraId="000000A4">
      <w:pPr>
        <w:spacing w:after="160" w:lineRule="auto"/>
        <w:rPr/>
      </w:pPr>
      <w:r>
        <w:rPr>
          <w:rFonts w:ascii="Arial" w:cs="Arial" w:eastAsia="Arial" w:hAnsi="Arial"/>
          <w:color w:val="000000"/>
          <w:sz w:val="22"/>
          <w:szCs w:val="22"/>
          <w:rtl w:val="0"/>
        </w:rPr>
        <w:t xml:space="preserve">The RESPECT Ecosystem Fund provides a secondary revenue path to the Platform through the 25% Platform Fund allocation. At Ecosystem maturity ($200M/yr total), this contributes up to $50M/yr to Platform operations—though this allocation is designed to decline as trademark revenue matures. The Ecosystem Fund is governed by SpoDit rules (Section 3.3) and disbursed by the Fiduciary Trustee, not the Foundation.</w:t>
      </w:r>
      <w:r>
        <w:rPr>
          <w:rtl w:val="0"/>
        </w:rPr>
      </w:r>
    </w:p>
    <w:p w:rsidR="00000000" w:rsidDel="00000000" w:rsidP="00000000" w:rsidRDefault="00000000" w:rsidRPr="00000000" w14:paraId="000000A5">
      <w:pPr>
        <w:rPr/>
      </w:pPr>
      <w:r>
        <w:br w:type="page"/>
      </w:r>
      <w:r>
        <w:rPr>
          <w:rtl w:val="0"/>
        </w:rPr>
      </w:r>
    </w:p>
    <w:p w:rsidR="00000000" w:rsidDel="00000000" w:rsidP="00000000" w:rsidRDefault="00000000" w:rsidRPr="00000000" w14:paraId="000000A6">
      <w:pPr>
        <w:pStyle w:val="Heading1"/>
        <w:spacing w:after="200" w:before="360" w:lineRule="auto"/>
        <w:rPr/>
      </w:pPr>
      <w:r>
        <w:rPr>
          <w:rFonts w:ascii="Arial" w:cs="Arial" w:eastAsia="Arial" w:hAnsi="Arial"/>
          <w:b w:val="1"/>
          <w:bCs w:val="1"/>
          <w:color w:val="1f3864"/>
          <w:sz w:val="32"/>
          <w:szCs w:val="32"/>
          <w:rtl w:val="0"/>
        </w:rPr>
        <w:t xml:space="preserve">5. Financial Projections</w:t>
      </w:r>
      <w:r>
        <w:rPr>
          <w:rtl w:val="0"/>
        </w:rPr>
      </w:r>
    </w:p>
    <w:p w:rsidR="00000000" w:rsidDel="00000000" w:rsidP="00000000" w:rsidRDefault="00000000" w:rsidRPr="00000000" w14:paraId="000000A7">
      <w:pPr>
        <w:spacing w:after="160" w:lineRule="auto"/>
        <w:rPr/>
      </w:pPr>
      <w:r>
        <w:rPr>
          <w:rFonts w:ascii="Arial" w:cs="Arial" w:eastAsia="Arial" w:hAnsi="Arial"/>
          <w:color w:val="000000"/>
          <w:sz w:val="22"/>
          <w:szCs w:val="22"/>
          <w:rtl w:val="0"/>
        </w:rPr>
        <w:t xml:space="preserve">Detailed financial projections are maintained in the Breakthrough Financial Model (see Project Plans/Breakthrough_Financial_Model.xlsx), which serves as the authoritative source for all figures in this section. The model contains three scenario levers (Programme Start Date, SpoDit Sensitivity Factor, Funded Tranches Toggle), 612 formulas, and zero errors.</w:t>
      </w:r>
      <w:r>
        <w:rPr>
          <w:rtl w:val="0"/>
        </w:rPr>
      </w:r>
    </w:p>
    <w:p w:rsidR="00000000" w:rsidDel="00000000" w:rsidP="00000000" w:rsidRDefault="00000000" w:rsidRPr="00000000" w14:paraId="000000A8">
      <w:pPr>
        <w:pStyle w:val="Heading2"/>
        <w:spacing w:after="160" w:before="280" w:lineRule="auto"/>
        <w:rPr/>
      </w:pPr>
      <w:r>
        <w:rPr>
          <w:rFonts w:ascii="Arial" w:cs="Arial" w:eastAsia="Arial" w:hAnsi="Arial"/>
          <w:b w:val="1"/>
          <w:bCs w:val="1"/>
          <w:color w:val="2f5496"/>
          <w:sz w:val="26"/>
          <w:szCs w:val="26"/>
          <w:rtl w:val="0"/>
        </w:rPr>
        <w:t xml:space="preserve">5.1 V&amp;P_Core Budget Overview</w:t>
      </w:r>
      <w:r>
        <w:rPr>
          <w:rtl w:val="0"/>
        </w:rPr>
      </w:r>
    </w:p>
    <w:p w:rsidR="00000000" w:rsidDel="00000000" w:rsidP="00000000" w:rsidRDefault="00000000" w:rsidRPr="00000000" w14:paraId="000000A9">
      <w:pPr>
        <w:spacing w:after="160" w:lineRule="auto"/>
        <w:rPr/>
      </w:pPr>
      <w:r>
        <w:rPr>
          <w:rFonts w:ascii="Arial" w:cs="Arial" w:eastAsia="Arial" w:hAnsi="Arial"/>
          <w:color w:val="000000"/>
          <w:sz w:val="22"/>
          <w:szCs w:val="22"/>
          <w:rtl w:val="0"/>
        </w:rPr>
        <w:t xml:space="preserve">The Foundation’s total budget is contained within the V&amp;P_Core (Sun-Project) allocation of ~$173M across 7 Programme Years. This covers:</w:t>
      </w:r>
      <w:r>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0"/>
        <w:gridCol w:w="1400"/>
        <w:gridCol w:w="4760"/>
        <w:tblGridChange w:id="0">
          <w:tblGrid>
            <w:gridCol w:w="3200"/>
            <w:gridCol w:w="1400"/>
            <w:gridCol w:w="4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3864" w:val="clear"/>
            <w:tcMar>
              <w:top w:w="80.0" w:type="dxa"/>
              <w:left w:w="120.0" w:type="dxa"/>
              <w:bottom w:w="80.0" w:type="dxa"/>
              <w:right w:w="120.0" w:type="dxa"/>
            </w:tcMar>
            <w:vAlign w:val="center"/>
          </w:tcPr>
          <w:p w:rsidR="00000000" w:rsidDel="00000000" w:rsidP="00000000" w:rsidRDefault="00000000" w:rsidRPr="00000000" w14:paraId="000000AA">
            <w:pPr>
              <w:rPr/>
            </w:pPr>
            <w:r>
              <w:rPr>
                <w:rFonts w:ascii="Arial" w:cs="Arial" w:eastAsia="Arial" w:hAnsi="Arial"/>
                <w:b w:val="1"/>
                <w:bCs w:val="1"/>
                <w:color w:val="ffffff"/>
                <w:sz w:val="20"/>
                <w:szCs w:val="20"/>
                <w:rtl w:val="0"/>
              </w:rPr>
              <w:t xml:space="preserve">Workstream</w:t>
            </w:r>
            <w:r>
              <w:rPr>
                <w:rtl w:val="0"/>
              </w:rPr>
            </w:r>
          </w:p>
        </w:tc>
        <w:tc>
          <w:tcPr>
            <w:tcBorders>
              <w:top w:color="cccccc" w:space="0" w:sz="4" w:val="single"/>
              <w:left w:color="cccccc" w:space="0" w:sz="4" w:val="single"/>
              <w:bottom w:color="cccccc" w:space="0" w:sz="4" w:val="single"/>
              <w:right w:color="cccccc" w:space="0" w:sz="4" w:val="single"/>
            </w:tcBorders>
            <w:shd w:fill="1f3864" w:val="clear"/>
            <w:tcMar>
              <w:top w:w="80.0" w:type="dxa"/>
              <w:left w:w="120.0" w:type="dxa"/>
              <w:bottom w:w="80.0" w:type="dxa"/>
              <w:right w:w="120.0" w:type="dxa"/>
            </w:tcMar>
            <w:vAlign w:val="center"/>
          </w:tcPr>
          <w:p w:rsidR="00000000" w:rsidDel="00000000" w:rsidP="00000000" w:rsidRDefault="00000000" w:rsidRPr="00000000" w14:paraId="000000AB">
            <w:pPr>
              <w:rPr/>
            </w:pPr>
            <w:r>
              <w:rPr>
                <w:rFonts w:ascii="Arial" w:cs="Arial" w:eastAsia="Arial" w:hAnsi="Arial"/>
                <w:b w:val="1"/>
                <w:bCs w:val="1"/>
                <w:color w:val="ffffff"/>
                <w:sz w:val="20"/>
                <w:szCs w:val="20"/>
                <w:rtl w:val="0"/>
              </w:rPr>
              <w:t xml:space="preserve">Budget ($M)</w:t>
            </w:r>
            <w:r>
              <w:rPr>
                <w:rtl w:val="0"/>
              </w:rPr>
            </w:r>
          </w:p>
        </w:tc>
        <w:tc>
          <w:tcPr>
            <w:tcBorders>
              <w:top w:color="cccccc" w:space="0" w:sz="4" w:val="single"/>
              <w:left w:color="cccccc" w:space="0" w:sz="4" w:val="single"/>
              <w:bottom w:color="cccccc" w:space="0" w:sz="4" w:val="single"/>
              <w:right w:color="cccccc" w:space="0" w:sz="4" w:val="single"/>
            </w:tcBorders>
            <w:shd w:fill="1f3864" w:val="clear"/>
            <w:tcMar>
              <w:top w:w="80.0" w:type="dxa"/>
              <w:left w:w="120.0" w:type="dxa"/>
              <w:bottom w:w="80.0" w:type="dxa"/>
              <w:right w:w="120.0" w:type="dxa"/>
            </w:tcMar>
            <w:vAlign w:val="center"/>
          </w:tcPr>
          <w:p w:rsidR="00000000" w:rsidDel="00000000" w:rsidP="00000000" w:rsidRDefault="00000000" w:rsidRPr="00000000" w14:paraId="000000AC">
            <w:pPr>
              <w:rPr/>
            </w:pPr>
            <w:r>
              <w:rPr>
                <w:rFonts w:ascii="Arial" w:cs="Arial" w:eastAsia="Arial" w:hAnsi="Arial"/>
                <w:b w:val="1"/>
                <w:bCs w:val="1"/>
                <w:color w:val="ffffff"/>
                <w:sz w:val="20"/>
                <w:szCs w:val="20"/>
                <w:rtl w:val="0"/>
              </w:rPr>
              <w:t xml:space="preserve">Description</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AD">
            <w:pPr>
              <w:rPr/>
            </w:pPr>
            <w:r>
              <w:rPr>
                <w:rFonts w:ascii="Arial" w:cs="Arial" w:eastAsia="Arial" w:hAnsi="Arial"/>
                <w:b w:val="0"/>
                <w:bCs w:val="0"/>
                <w:color w:val="000000"/>
                <w:sz w:val="20"/>
                <w:szCs w:val="20"/>
                <w:rtl w:val="0"/>
              </w:rPr>
              <w:t xml:space="preserve">Platform Development (DP Bridge)</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AE">
            <w:pPr>
              <w:rPr/>
            </w:pPr>
            <w:r>
              <w:rPr>
                <w:rFonts w:ascii="Arial" w:cs="Arial" w:eastAsia="Arial" w:hAnsi="Arial"/>
                <w:b w:val="0"/>
                <w:bCs w:val="0"/>
                <w:color w:val="000000"/>
                <w:sz w:val="20"/>
                <w:szCs w:val="20"/>
                <w:rtl w:val="0"/>
              </w:rPr>
              <w:t xml:space="preserve">91.0</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AF">
            <w:pPr>
              <w:rPr/>
            </w:pPr>
            <w:r>
              <w:rPr>
                <w:rFonts w:ascii="Arial" w:cs="Arial" w:eastAsia="Arial" w:hAnsi="Arial"/>
                <w:b w:val="0"/>
                <w:bCs w:val="0"/>
                <w:color w:val="000000"/>
                <w:sz w:val="20"/>
                <w:szCs w:val="20"/>
                <w:rtl w:val="0"/>
              </w:rPr>
              <w:t xml:space="preserve">Core software development, operations, security, QA</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B0">
            <w:pPr>
              <w:rPr/>
            </w:pPr>
            <w:r>
              <w:rPr>
                <w:rFonts w:ascii="Arial" w:cs="Arial" w:eastAsia="Arial" w:hAnsi="Arial"/>
                <w:b w:val="0"/>
                <w:bCs w:val="0"/>
                <w:color w:val="000000"/>
                <w:sz w:val="20"/>
                <w:szCs w:val="20"/>
                <w:rtl w:val="0"/>
              </w:rPr>
              <w:t xml:space="preserve">Stakeholder Alignment Programs</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B1">
            <w:pPr>
              <w:rPr/>
            </w:pPr>
            <w:r>
              <w:rPr>
                <w:rFonts w:ascii="Arial" w:cs="Arial" w:eastAsia="Arial" w:hAnsi="Arial"/>
                <w:b w:val="0"/>
                <w:bCs w:val="0"/>
                <w:color w:val="000000"/>
                <w:sz w:val="20"/>
                <w:szCs w:val="20"/>
                <w:rtl w:val="0"/>
              </w:rPr>
              <w:t xml:space="preserve">35.0</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B2">
            <w:pPr>
              <w:rPr/>
            </w:pPr>
            <w:r>
              <w:rPr>
                <w:rFonts w:ascii="Arial" w:cs="Arial" w:eastAsia="Arial" w:hAnsi="Arial"/>
                <w:b w:val="0"/>
                <w:bCs w:val="0"/>
                <w:color w:val="000000"/>
                <w:sz w:val="20"/>
                <w:szCs w:val="20"/>
                <w:rtl w:val="0"/>
              </w:rPr>
              <w:t xml:space="preserve">Nine SAP categories across the ecosystem</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B3">
            <w:pPr>
              <w:rPr/>
            </w:pPr>
            <w:r>
              <w:rPr>
                <w:rFonts w:ascii="Arial" w:cs="Arial" w:eastAsia="Arial" w:hAnsi="Arial"/>
                <w:b w:val="0"/>
                <w:bCs w:val="0"/>
                <w:color w:val="000000"/>
                <w:sz w:val="20"/>
                <w:szCs w:val="20"/>
                <w:rtl w:val="0"/>
              </w:rPr>
              <w:t xml:space="preserve">AUDA-NEPAD EdTech Task Force</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B4">
            <w:pPr>
              <w:rPr/>
            </w:pPr>
            <w:r>
              <w:rPr>
                <w:rFonts w:ascii="Arial" w:cs="Arial" w:eastAsia="Arial" w:hAnsi="Arial"/>
                <w:b w:val="0"/>
                <w:bCs w:val="0"/>
                <w:color w:val="000000"/>
                <w:sz w:val="20"/>
                <w:szCs w:val="20"/>
                <w:rtl w:val="0"/>
              </w:rPr>
              <w:t xml:space="preserve">15.0</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B5">
            <w:pPr>
              <w:rPr/>
            </w:pPr>
            <w:r>
              <w:rPr>
                <w:rFonts w:ascii="Arial" w:cs="Arial" w:eastAsia="Arial" w:hAnsi="Arial"/>
                <w:b w:val="0"/>
                <w:bCs w:val="0"/>
                <w:color w:val="000000"/>
                <w:sz w:val="20"/>
                <w:szCs w:val="20"/>
                <w:rtl w:val="0"/>
              </w:rPr>
              <w:t xml:space="preserve">Continental coordination (coordination levy)</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B6">
            <w:pPr>
              <w:rPr/>
            </w:pPr>
            <w:r>
              <w:rPr>
                <w:rFonts w:ascii="Arial" w:cs="Arial" w:eastAsia="Arial" w:hAnsi="Arial"/>
                <w:b w:val="0"/>
                <w:bCs w:val="0"/>
                <w:color w:val="000000"/>
                <w:sz w:val="20"/>
                <w:szCs w:val="20"/>
                <w:rtl w:val="0"/>
              </w:rPr>
              <w:t xml:space="preserve">Pilot Deployment (6 countries)</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B7">
            <w:pPr>
              <w:rPr/>
            </w:pPr>
            <w:r>
              <w:rPr>
                <w:rFonts w:ascii="Arial" w:cs="Arial" w:eastAsia="Arial" w:hAnsi="Arial"/>
                <w:b w:val="0"/>
                <w:bCs w:val="0"/>
                <w:color w:val="000000"/>
                <w:sz w:val="20"/>
                <w:szCs w:val="20"/>
                <w:rtl w:val="0"/>
              </w:rPr>
              <w:t xml:space="preserve">10.0</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B8">
            <w:pPr>
              <w:rPr/>
            </w:pPr>
            <w:r>
              <w:rPr>
                <w:rFonts w:ascii="Arial" w:cs="Arial" w:eastAsia="Arial" w:hAnsi="Arial"/>
                <w:b w:val="0"/>
                <w:bCs w:val="0"/>
                <w:color w:val="000000"/>
                <w:sz w:val="20"/>
                <w:szCs w:val="20"/>
                <w:rtl w:val="0"/>
              </w:rPr>
              <w:t xml:space="preserve">Initial country-level platform deployment</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B9">
            <w:pPr>
              <w:rPr/>
            </w:pPr>
            <w:r>
              <w:rPr>
                <w:rFonts w:ascii="Arial" w:cs="Arial" w:eastAsia="Arial" w:hAnsi="Arial"/>
                <w:b w:val="0"/>
                <w:bCs w:val="0"/>
                <w:color w:val="000000"/>
                <w:sz w:val="20"/>
                <w:szCs w:val="20"/>
                <w:rtl w:val="0"/>
              </w:rPr>
              <w:t xml:space="preserve">Scaling Operations</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BA">
            <w:pPr>
              <w:rPr/>
            </w:pPr>
            <w:r>
              <w:rPr>
                <w:rFonts w:ascii="Arial" w:cs="Arial" w:eastAsia="Arial" w:hAnsi="Arial"/>
                <w:b w:val="0"/>
                <w:bCs w:val="0"/>
                <w:color w:val="000000"/>
                <w:sz w:val="20"/>
                <w:szCs w:val="20"/>
                <w:rtl w:val="0"/>
              </w:rPr>
              <w:t xml:space="preserve">9.0</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BB">
            <w:pPr>
              <w:rPr/>
            </w:pPr>
            <w:r>
              <w:rPr>
                <w:rFonts w:ascii="Arial" w:cs="Arial" w:eastAsia="Arial" w:hAnsi="Arial"/>
                <w:b w:val="0"/>
                <w:bCs w:val="0"/>
                <w:color w:val="000000"/>
                <w:sz w:val="20"/>
                <w:szCs w:val="20"/>
                <w:rtl w:val="0"/>
              </w:rPr>
              <w:t xml:space="preserve">Expansion beyond pilot countries</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BC">
            <w:pPr>
              <w:rPr/>
            </w:pPr>
            <w:r>
              <w:rPr>
                <w:rFonts w:ascii="Arial" w:cs="Arial" w:eastAsia="Arial" w:hAnsi="Arial"/>
                <w:b w:val="0"/>
                <w:bCs w:val="0"/>
                <w:color w:val="000000"/>
                <w:sz w:val="20"/>
                <w:szCs w:val="20"/>
                <w:rtl w:val="0"/>
              </w:rPr>
              <w:t xml:space="preserve">Spix Foundation Operations</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BD">
            <w:pPr>
              <w:rPr/>
            </w:pPr>
            <w:r>
              <w:rPr>
                <w:rFonts w:ascii="Arial" w:cs="Arial" w:eastAsia="Arial" w:hAnsi="Arial"/>
                <w:b w:val="0"/>
                <w:bCs w:val="0"/>
                <w:color w:val="000000"/>
                <w:sz w:val="20"/>
                <w:szCs w:val="20"/>
                <w:rtl w:val="0"/>
              </w:rPr>
              <w:t xml:space="preserve">8.5</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BE">
            <w:pPr>
              <w:rPr/>
            </w:pPr>
            <w:r>
              <w:rPr>
                <w:rFonts w:ascii="Arial" w:cs="Arial" w:eastAsia="Arial" w:hAnsi="Arial"/>
                <w:b w:val="0"/>
                <w:bCs w:val="0"/>
                <w:color w:val="000000"/>
                <w:sz w:val="20"/>
                <w:szCs w:val="20"/>
                <w:rtl w:val="0"/>
              </w:rPr>
              <w:t xml:space="preserve">Board, executive, legal, finance, admin, DP relations</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BF">
            <w:pPr>
              <w:rPr/>
            </w:pPr>
            <w:r>
              <w:rPr>
                <w:rFonts w:ascii="Arial" w:cs="Arial" w:eastAsia="Arial" w:hAnsi="Arial"/>
                <w:b w:val="0"/>
                <w:bCs w:val="0"/>
                <w:color w:val="000000"/>
                <w:sz w:val="20"/>
                <w:szCs w:val="20"/>
                <w:rtl w:val="0"/>
              </w:rPr>
              <w:t xml:space="preserve">Contingency</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C0">
            <w:pPr>
              <w:rPr/>
            </w:pPr>
            <w:r>
              <w:rPr>
                <w:rFonts w:ascii="Arial" w:cs="Arial" w:eastAsia="Arial" w:hAnsi="Arial"/>
                <w:b w:val="0"/>
                <w:bCs w:val="0"/>
                <w:color w:val="000000"/>
                <w:sz w:val="20"/>
                <w:szCs w:val="20"/>
                <w:rtl w:val="0"/>
              </w:rPr>
              <w:t xml:space="preserve">5.0</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C1">
            <w:pPr>
              <w:rPr/>
            </w:pPr>
            <w:r>
              <w:rPr>
                <w:rFonts w:ascii="Arial" w:cs="Arial" w:eastAsia="Arial" w:hAnsi="Arial"/>
                <w:b w:val="0"/>
                <w:bCs w:val="0"/>
                <w:color w:val="000000"/>
                <w:sz w:val="20"/>
                <w:szCs w:val="20"/>
                <w:rtl w:val="0"/>
              </w:rPr>
              <w:t xml:space="preserve">Risk buffer</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C2">
            <w:pPr>
              <w:rPr/>
            </w:pPr>
            <w:r>
              <w:rPr>
                <w:rFonts w:ascii="Arial" w:cs="Arial" w:eastAsia="Arial" w:hAnsi="Arial"/>
                <w:b w:val="0"/>
                <w:bCs w:val="0"/>
                <w:color w:val="000000"/>
                <w:sz w:val="20"/>
                <w:szCs w:val="20"/>
                <w:rtl w:val="0"/>
              </w:rPr>
              <w:t xml:space="preserve">Institutional Incubation</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C3">
            <w:pPr>
              <w:rPr/>
            </w:pPr>
            <w:r>
              <w:rPr>
                <w:rFonts w:ascii="Arial" w:cs="Arial" w:eastAsia="Arial" w:hAnsi="Arial"/>
                <w:b w:val="0"/>
                <w:bCs w:val="0"/>
                <w:color w:val="000000"/>
                <w:sz w:val="20"/>
                <w:szCs w:val="20"/>
                <w:rtl w:val="0"/>
              </w:rPr>
              <w:t xml:space="preserve">2.75</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C4">
            <w:pPr>
              <w:rPr/>
            </w:pPr>
            <w:r>
              <w:rPr>
                <w:rFonts w:ascii="Arial" w:cs="Arial" w:eastAsia="Arial" w:hAnsi="Arial"/>
                <w:b w:val="0"/>
                <w:bCs w:val="0"/>
                <w:color w:val="000000"/>
                <w:sz w:val="20"/>
                <w:szCs w:val="20"/>
                <w:rtl w:val="0"/>
              </w:rPr>
              <w:t xml:space="preserve">Professional Bodies and Product Associations design</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C5">
            <w:pPr>
              <w:rPr/>
            </w:pPr>
            <w:r>
              <w:rPr>
                <w:rFonts w:ascii="Arial" w:cs="Arial" w:eastAsia="Arial" w:hAnsi="Arial"/>
                <w:b w:val="0"/>
                <w:bCs w:val="0"/>
                <w:color w:val="000000"/>
                <w:sz w:val="20"/>
                <w:szCs w:val="20"/>
                <w:rtl w:val="0"/>
              </w:rPr>
              <w:t xml:space="preserve">Governance &amp; Fiduciary</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C6">
            <w:pPr>
              <w:rPr/>
            </w:pPr>
            <w:r>
              <w:rPr>
                <w:rFonts w:ascii="Arial" w:cs="Arial" w:eastAsia="Arial" w:hAnsi="Arial"/>
                <w:b w:val="0"/>
                <w:bCs w:val="0"/>
                <w:color w:val="000000"/>
                <w:sz w:val="20"/>
                <w:szCs w:val="20"/>
                <w:rtl w:val="0"/>
              </w:rPr>
              <w:t xml:space="preserve">2.5</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C7">
            <w:pPr>
              <w:rPr/>
            </w:pPr>
            <w:r>
              <w:rPr>
                <w:rFonts w:ascii="Arial" w:cs="Arial" w:eastAsia="Arial" w:hAnsi="Arial"/>
                <w:b w:val="0"/>
                <w:bCs w:val="0"/>
                <w:color w:val="000000"/>
                <w:sz w:val="20"/>
                <w:szCs w:val="20"/>
                <w:rtl w:val="0"/>
              </w:rPr>
              <w:t xml:space="preserve">Legal, audit, and trustee obligations</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C8">
            <w:pPr>
              <w:rPr/>
            </w:pPr>
            <w:r>
              <w:rPr>
                <w:rFonts w:ascii="Arial" w:cs="Arial" w:eastAsia="Arial" w:hAnsi="Arial"/>
                <w:b w:val="0"/>
                <w:bCs w:val="0"/>
                <w:color w:val="000000"/>
                <w:sz w:val="20"/>
                <w:szCs w:val="20"/>
                <w:rtl w:val="0"/>
              </w:rPr>
              <w:t xml:space="preserve">Fundraising &amp; DP Relations</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C9">
            <w:pPr>
              <w:rPr/>
            </w:pPr>
            <w:r>
              <w:rPr>
                <w:rFonts w:ascii="Arial" w:cs="Arial" w:eastAsia="Arial" w:hAnsi="Arial"/>
                <w:b w:val="0"/>
                <w:bCs w:val="0"/>
                <w:color w:val="000000"/>
                <w:sz w:val="20"/>
                <w:szCs w:val="20"/>
                <w:rtl w:val="0"/>
              </w:rPr>
              <w:t xml:space="preserve">1.8</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CA">
            <w:pPr>
              <w:rPr/>
            </w:pPr>
            <w:r>
              <w:rPr>
                <w:rFonts w:ascii="Arial" w:cs="Arial" w:eastAsia="Arial" w:hAnsi="Arial"/>
                <w:b w:val="0"/>
                <w:bCs w:val="0"/>
                <w:color w:val="000000"/>
                <w:sz w:val="20"/>
                <w:szCs w:val="20"/>
                <w:rtl w:val="0"/>
              </w:rPr>
              <w:t xml:space="preserve">Development Partner engagement</w:t>
            </w:r>
            <w:r>
              <w:rPr>
                <w:rtl w:val="0"/>
              </w:rPr>
            </w:r>
          </w:p>
        </w:tc>
      </w:tr>
    </w:tbl>
    <w:p w:rsidR="00000000" w:rsidDel="00000000" w:rsidP="00000000" w:rsidRDefault="00000000" w:rsidRPr="00000000" w14:paraId="000000CB">
      <w:pPr>
        <w:spacing w:after="160" w:lineRule="auto"/>
        <w:rPr/>
      </w:pPr>
      <w:r>
        <w:rPr>
          <w:rtl w:val="0"/>
        </w:rPr>
      </w:r>
    </w:p>
    <w:p w:rsidR="00000000" w:rsidDel="00000000" w:rsidP="00000000" w:rsidRDefault="00000000" w:rsidRPr="00000000" w14:paraId="000000CC">
      <w:pPr>
        <w:pStyle w:val="Heading2"/>
        <w:spacing w:after="160" w:before="280" w:lineRule="auto"/>
        <w:rPr/>
      </w:pPr>
      <w:r>
        <w:rPr>
          <w:rFonts w:ascii="Arial" w:cs="Arial" w:eastAsia="Arial" w:hAnsi="Arial"/>
          <w:b w:val="1"/>
          <w:bCs w:val="1"/>
          <w:color w:val="2f5496"/>
          <w:sz w:val="26"/>
          <w:szCs w:val="26"/>
          <w:rtl w:val="0"/>
        </w:rPr>
        <w:t xml:space="preserve">5.2 Tranche Structure</w:t>
      </w:r>
      <w:r>
        <w:rPr>
          <w:rtl w:val="0"/>
        </w:rPr>
      </w:r>
    </w:p>
    <w:p w:rsidR="00000000" w:rsidDel="00000000" w:rsidP="00000000" w:rsidRDefault="00000000" w:rsidRPr="00000000" w14:paraId="000000CD">
      <w:pPr>
        <w:spacing w:after="160" w:lineRule="auto"/>
        <w:rPr/>
      </w:pPr>
      <w:r>
        <w:rPr>
          <w:rFonts w:ascii="Arial" w:cs="Arial" w:eastAsia="Arial" w:hAnsi="Arial"/>
          <w:color w:val="000000"/>
          <w:sz w:val="22"/>
          <w:szCs w:val="22"/>
          <w:rtl w:val="0"/>
        </w:rPr>
        <w:t xml:space="preserve">Funding is disbursed in three milestone-gated tranches (see Essay 28, The Ask; and DP Due Diligence Docs: Milestone-to-Money):</w:t>
      </w:r>
      <w:r>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1400"/>
        <w:gridCol w:w="1800"/>
        <w:gridCol w:w="4360"/>
        <w:tblGridChange w:id="0">
          <w:tblGrid>
            <w:gridCol w:w="1800"/>
            <w:gridCol w:w="1400"/>
            <w:gridCol w:w="1800"/>
            <w:gridCol w:w="4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3864" w:val="clear"/>
            <w:tcMar>
              <w:top w:w="80.0" w:type="dxa"/>
              <w:left w:w="120.0" w:type="dxa"/>
              <w:bottom w:w="80.0" w:type="dxa"/>
              <w:right w:w="120.0" w:type="dxa"/>
            </w:tcMar>
            <w:vAlign w:val="center"/>
          </w:tcPr>
          <w:p w:rsidR="00000000" w:rsidDel="00000000" w:rsidP="00000000" w:rsidRDefault="00000000" w:rsidRPr="00000000" w14:paraId="000000CE">
            <w:pPr>
              <w:rPr/>
            </w:pPr>
            <w:r>
              <w:rPr>
                <w:rFonts w:ascii="Arial" w:cs="Arial" w:eastAsia="Arial" w:hAnsi="Arial"/>
                <w:b w:val="1"/>
                <w:bCs w:val="1"/>
                <w:color w:val="ffffff"/>
                <w:sz w:val="20"/>
                <w:szCs w:val="20"/>
                <w:rtl w:val="0"/>
              </w:rPr>
              <w:t xml:space="preserve">Tranche</w:t>
            </w:r>
            <w:r>
              <w:rPr>
                <w:rtl w:val="0"/>
              </w:rPr>
            </w:r>
          </w:p>
        </w:tc>
        <w:tc>
          <w:tcPr>
            <w:tcBorders>
              <w:top w:color="cccccc" w:space="0" w:sz="4" w:val="single"/>
              <w:left w:color="cccccc" w:space="0" w:sz="4" w:val="single"/>
              <w:bottom w:color="cccccc" w:space="0" w:sz="4" w:val="single"/>
              <w:right w:color="cccccc" w:space="0" w:sz="4" w:val="single"/>
            </w:tcBorders>
            <w:shd w:fill="1f3864" w:val="clear"/>
            <w:tcMar>
              <w:top w:w="80.0" w:type="dxa"/>
              <w:left w:w="120.0" w:type="dxa"/>
              <w:bottom w:w="80.0" w:type="dxa"/>
              <w:right w:w="120.0" w:type="dxa"/>
            </w:tcMar>
            <w:vAlign w:val="center"/>
          </w:tcPr>
          <w:p w:rsidR="00000000" w:rsidDel="00000000" w:rsidP="00000000" w:rsidRDefault="00000000" w:rsidRPr="00000000" w14:paraId="000000CF">
            <w:pPr>
              <w:rPr/>
            </w:pPr>
            <w:r>
              <w:rPr>
                <w:rFonts w:ascii="Arial" w:cs="Arial" w:eastAsia="Arial" w:hAnsi="Arial"/>
                <w:b w:val="1"/>
                <w:bCs w:val="1"/>
                <w:color w:val="ffffff"/>
                <w:sz w:val="20"/>
                <w:szCs w:val="20"/>
                <w:rtl w:val="0"/>
              </w:rPr>
              <w:t xml:space="preserve">Period</w:t>
            </w:r>
            <w:r>
              <w:rPr>
                <w:rtl w:val="0"/>
              </w:rPr>
            </w:r>
          </w:p>
        </w:tc>
        <w:tc>
          <w:tcPr>
            <w:tcBorders>
              <w:top w:color="cccccc" w:space="0" w:sz="4" w:val="single"/>
              <w:left w:color="cccccc" w:space="0" w:sz="4" w:val="single"/>
              <w:bottom w:color="cccccc" w:space="0" w:sz="4" w:val="single"/>
              <w:right w:color="cccccc" w:space="0" w:sz="4" w:val="single"/>
            </w:tcBorders>
            <w:shd w:fill="1f3864" w:val="clear"/>
            <w:tcMar>
              <w:top w:w="80.0" w:type="dxa"/>
              <w:left w:w="120.0" w:type="dxa"/>
              <w:bottom w:w="80.0" w:type="dxa"/>
              <w:right w:w="120.0" w:type="dxa"/>
            </w:tcMar>
            <w:vAlign w:val="center"/>
          </w:tcPr>
          <w:p w:rsidR="00000000" w:rsidDel="00000000" w:rsidP="00000000" w:rsidRDefault="00000000" w:rsidRPr="00000000" w14:paraId="000000D0">
            <w:pPr>
              <w:rPr/>
            </w:pPr>
            <w:r>
              <w:rPr>
                <w:rFonts w:ascii="Arial" w:cs="Arial" w:eastAsia="Arial" w:hAnsi="Arial"/>
                <w:b w:val="1"/>
                <w:bCs w:val="1"/>
                <w:color w:val="ffffff"/>
                <w:sz w:val="20"/>
                <w:szCs w:val="20"/>
                <w:rtl w:val="0"/>
              </w:rPr>
              <w:t xml:space="preserve">Amount ($M)</w:t>
            </w:r>
            <w:r>
              <w:rPr>
                <w:rtl w:val="0"/>
              </w:rPr>
            </w:r>
          </w:p>
        </w:tc>
        <w:tc>
          <w:tcPr>
            <w:tcBorders>
              <w:top w:color="cccccc" w:space="0" w:sz="4" w:val="single"/>
              <w:left w:color="cccccc" w:space="0" w:sz="4" w:val="single"/>
              <w:bottom w:color="cccccc" w:space="0" w:sz="4" w:val="single"/>
              <w:right w:color="cccccc" w:space="0" w:sz="4" w:val="single"/>
            </w:tcBorders>
            <w:shd w:fill="1f3864" w:val="clear"/>
            <w:tcMar>
              <w:top w:w="80.0" w:type="dxa"/>
              <w:left w:w="120.0" w:type="dxa"/>
              <w:bottom w:w="80.0" w:type="dxa"/>
              <w:right w:w="120.0" w:type="dxa"/>
            </w:tcMar>
            <w:vAlign w:val="center"/>
          </w:tcPr>
          <w:p w:rsidR="00000000" w:rsidDel="00000000" w:rsidP="00000000" w:rsidRDefault="00000000" w:rsidRPr="00000000" w14:paraId="000000D1">
            <w:pPr>
              <w:rPr/>
            </w:pPr>
            <w:r>
              <w:rPr>
                <w:rFonts w:ascii="Arial" w:cs="Arial" w:eastAsia="Arial" w:hAnsi="Arial"/>
                <w:b w:val="1"/>
                <w:bCs w:val="1"/>
                <w:color w:val="ffffff"/>
                <w:sz w:val="20"/>
                <w:szCs w:val="20"/>
                <w:rtl w:val="0"/>
              </w:rPr>
              <w:t xml:space="preserve">Purpose</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D2">
            <w:pPr>
              <w:rPr/>
            </w:pPr>
            <w:r>
              <w:rPr>
                <w:rFonts w:ascii="Arial" w:cs="Arial" w:eastAsia="Arial" w:hAnsi="Arial"/>
                <w:b w:val="0"/>
                <w:bCs w:val="0"/>
                <w:color w:val="000000"/>
                <w:sz w:val="20"/>
                <w:szCs w:val="20"/>
                <w:rtl w:val="0"/>
              </w:rPr>
              <w:t xml:space="preserve">Tranche 1</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D3">
            <w:pPr>
              <w:rPr/>
            </w:pPr>
            <w:r>
              <w:rPr>
                <w:rFonts w:ascii="Arial" w:cs="Arial" w:eastAsia="Arial" w:hAnsi="Arial"/>
                <w:b w:val="0"/>
                <w:bCs w:val="0"/>
                <w:color w:val="000000"/>
                <w:sz w:val="20"/>
                <w:szCs w:val="20"/>
                <w:rtl w:val="0"/>
              </w:rPr>
              <w:t xml:space="preserve">Y1–Y2</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D4">
            <w:pPr>
              <w:rPr/>
            </w:pPr>
            <w:r>
              <w:rPr>
                <w:rFonts w:ascii="Arial" w:cs="Arial" w:eastAsia="Arial" w:hAnsi="Arial"/>
                <w:b w:val="0"/>
                <w:bCs w:val="0"/>
                <w:color w:val="000000"/>
                <w:sz w:val="20"/>
                <w:szCs w:val="20"/>
                <w:rtl w:val="0"/>
              </w:rPr>
              <w:t xml:space="preserve">~$120</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D5">
            <w:pPr>
              <w:rPr/>
            </w:pPr>
            <w:r>
              <w:rPr>
                <w:rFonts w:ascii="Arial" w:cs="Arial" w:eastAsia="Arial" w:hAnsi="Arial"/>
                <w:b w:val="0"/>
                <w:bCs w:val="0"/>
                <w:color w:val="000000"/>
                <w:sz w:val="20"/>
                <w:szCs w:val="20"/>
                <w:rtl w:val="0"/>
              </w:rPr>
              <w:t xml:space="preserve">Establish &amp; Early Scale</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D6">
            <w:pPr>
              <w:rPr/>
            </w:pPr>
            <w:r>
              <w:rPr>
                <w:rFonts w:ascii="Arial" w:cs="Arial" w:eastAsia="Arial" w:hAnsi="Arial"/>
                <w:b w:val="0"/>
                <w:bCs w:val="0"/>
                <w:color w:val="000000"/>
                <w:sz w:val="20"/>
                <w:szCs w:val="20"/>
                <w:rtl w:val="0"/>
              </w:rPr>
              <w:t xml:space="preserve">Tranche 2</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D7">
            <w:pPr>
              <w:rPr/>
            </w:pPr>
            <w:r>
              <w:rPr>
                <w:rFonts w:ascii="Arial" w:cs="Arial" w:eastAsia="Arial" w:hAnsi="Arial"/>
                <w:b w:val="0"/>
                <w:bCs w:val="0"/>
                <w:color w:val="000000"/>
                <w:sz w:val="20"/>
                <w:szCs w:val="20"/>
                <w:rtl w:val="0"/>
              </w:rPr>
              <w:t xml:space="preserve">Y3–Y4</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D8">
            <w:pPr>
              <w:rPr/>
            </w:pPr>
            <w:r>
              <w:rPr>
                <w:rFonts w:ascii="Arial" w:cs="Arial" w:eastAsia="Arial" w:hAnsi="Arial"/>
                <w:b w:val="0"/>
                <w:bCs w:val="0"/>
                <w:color w:val="000000"/>
                <w:sz w:val="20"/>
                <w:szCs w:val="20"/>
                <w:rtl w:val="0"/>
              </w:rPr>
              <w:t xml:space="preserve">~$158</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D9">
            <w:pPr>
              <w:rPr/>
            </w:pPr>
            <w:r>
              <w:rPr>
                <w:rFonts w:ascii="Arial" w:cs="Arial" w:eastAsia="Arial" w:hAnsi="Arial"/>
                <w:b w:val="0"/>
                <w:bCs w:val="0"/>
                <w:color w:val="000000"/>
                <w:sz w:val="20"/>
                <w:szCs w:val="20"/>
                <w:rtl w:val="0"/>
              </w:rPr>
              <w:t xml:space="preserve">Acceleration</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DA">
            <w:pPr>
              <w:rPr/>
            </w:pPr>
            <w:r>
              <w:rPr>
                <w:rFonts w:ascii="Arial" w:cs="Arial" w:eastAsia="Arial" w:hAnsi="Arial"/>
                <w:b w:val="0"/>
                <w:bCs w:val="0"/>
                <w:color w:val="000000"/>
                <w:sz w:val="20"/>
                <w:szCs w:val="20"/>
                <w:rtl w:val="0"/>
              </w:rPr>
              <w:t xml:space="preserve">Tranche 3</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DB">
            <w:pPr>
              <w:rPr/>
            </w:pPr>
            <w:r>
              <w:rPr>
                <w:rFonts w:ascii="Arial" w:cs="Arial" w:eastAsia="Arial" w:hAnsi="Arial"/>
                <w:b w:val="0"/>
                <w:bCs w:val="0"/>
                <w:color w:val="000000"/>
                <w:sz w:val="20"/>
                <w:szCs w:val="20"/>
                <w:rtl w:val="0"/>
              </w:rPr>
              <w:t xml:space="preserve">Y5–Y7</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DC">
            <w:pPr>
              <w:rPr/>
            </w:pPr>
            <w:r>
              <w:rPr>
                <w:rFonts w:ascii="Arial" w:cs="Arial" w:eastAsia="Arial" w:hAnsi="Arial"/>
                <w:b w:val="0"/>
                <w:bCs w:val="0"/>
                <w:color w:val="000000"/>
                <w:sz w:val="20"/>
                <w:szCs w:val="20"/>
                <w:rtl w:val="0"/>
              </w:rPr>
              <w:t xml:space="preserve">~$191</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DD">
            <w:pPr>
              <w:rPr/>
            </w:pPr>
            <w:r>
              <w:rPr>
                <w:rFonts w:ascii="Arial" w:cs="Arial" w:eastAsia="Arial" w:hAnsi="Arial"/>
                <w:b w:val="0"/>
                <w:bCs w:val="0"/>
                <w:color w:val="000000"/>
                <w:sz w:val="20"/>
                <w:szCs w:val="20"/>
                <w:rtl w:val="0"/>
              </w:rPr>
              <w:t xml:space="preserve">Maturity &amp; Transition</w:t>
            </w:r>
            <w:r>
              <w:rPr>
                <w:rtl w:val="0"/>
              </w:rPr>
            </w:r>
          </w:p>
        </w:tc>
      </w:tr>
    </w:tbl>
    <w:p w:rsidR="00000000" w:rsidDel="00000000" w:rsidP="00000000" w:rsidRDefault="00000000" w:rsidRPr="00000000" w14:paraId="000000DE">
      <w:pPr>
        <w:spacing w:after="160" w:lineRule="auto"/>
        <w:rPr/>
      </w:pPr>
      <w:r>
        <w:rPr>
          <w:rtl w:val="0"/>
        </w:rPr>
      </w:r>
    </w:p>
    <w:p w:rsidR="00000000" w:rsidDel="00000000" w:rsidP="00000000" w:rsidRDefault="00000000" w:rsidRPr="00000000" w14:paraId="000000DF">
      <w:pPr>
        <w:spacing w:after="160" w:lineRule="auto"/>
        <w:rPr/>
      </w:pPr>
      <w:r>
        <w:rPr>
          <w:rFonts w:ascii="Arial" w:cs="Arial" w:eastAsia="Arial" w:hAnsi="Arial"/>
          <w:color w:val="000000"/>
          <w:sz w:val="22"/>
          <w:szCs w:val="22"/>
          <w:rtl w:val="0"/>
        </w:rPr>
        <w:t xml:space="preserve">Each tranche gate requires demonstrated achievement of specific milestones (platform readiness, institutional formation, adoption metrics, sustainability indicators) before the next tranche is released. The Fiduciary Trustee verifies milestones independently.</w:t>
      </w:r>
      <w:r>
        <w:rPr>
          <w:rtl w:val="0"/>
        </w:rPr>
      </w:r>
    </w:p>
    <w:p w:rsidR="00000000" w:rsidDel="00000000" w:rsidP="00000000" w:rsidRDefault="00000000" w:rsidRPr="00000000" w14:paraId="000000E0">
      <w:pPr>
        <w:pStyle w:val="Heading2"/>
        <w:spacing w:after="160" w:before="280" w:lineRule="auto"/>
        <w:rPr/>
      </w:pPr>
      <w:r>
        <w:rPr>
          <w:rFonts w:ascii="Arial" w:cs="Arial" w:eastAsia="Arial" w:hAnsi="Arial"/>
          <w:b w:val="1"/>
          <w:bCs w:val="1"/>
          <w:color w:val="2f5496"/>
          <w:sz w:val="26"/>
          <w:szCs w:val="26"/>
          <w:rtl w:val="0"/>
        </w:rPr>
        <w:t xml:space="preserve">5.3 Sustainability Crossover</w:t>
      </w:r>
      <w:r>
        <w:rPr>
          <w:rtl w:val="0"/>
        </w:rPr>
      </w:r>
    </w:p>
    <w:p w:rsidR="00000000" w:rsidDel="00000000" w:rsidP="00000000" w:rsidRDefault="00000000" w:rsidRPr="00000000" w14:paraId="000000E1">
      <w:pPr>
        <w:spacing w:after="160" w:lineRule="auto"/>
        <w:rPr/>
      </w:pPr>
      <w:r>
        <w:rPr>
          <w:rFonts w:ascii="Arial" w:cs="Arial" w:eastAsia="Arial" w:hAnsi="Arial"/>
          <w:color w:val="000000"/>
          <w:sz w:val="22"/>
          <w:szCs w:val="22"/>
          <w:rtl w:val="0"/>
        </w:rPr>
        <w:t xml:space="preserve">The model tracks the Self-Funded Percentage—the share of total revenue derived from earned sources (trademark licensing + SpoDit-linked Ecosystem Fund allocation) rather than Development Partner grants:</w:t>
      </w:r>
      <w:r>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1020"/>
        <w:gridCol w:w="1020"/>
        <w:gridCol w:w="1020"/>
        <w:gridCol w:w="1020"/>
        <w:gridCol w:w="1020"/>
        <w:gridCol w:w="1020"/>
        <w:gridCol w:w="1040"/>
        <w:tblGridChange w:id="0">
          <w:tblGrid>
            <w:gridCol w:w="2200"/>
            <w:gridCol w:w="1020"/>
            <w:gridCol w:w="1020"/>
            <w:gridCol w:w="1020"/>
            <w:gridCol w:w="1020"/>
            <w:gridCol w:w="1020"/>
            <w:gridCol w:w="1020"/>
            <w:gridCol w:w="104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3864" w:val="clear"/>
            <w:tcMar>
              <w:top w:w="80.0" w:type="dxa"/>
              <w:left w:w="120.0" w:type="dxa"/>
              <w:bottom w:w="80.0" w:type="dxa"/>
              <w:right w:w="120.0" w:type="dxa"/>
            </w:tcMar>
            <w:vAlign w:val="center"/>
          </w:tcPr>
          <w:p w:rsidR="00000000" w:rsidDel="00000000" w:rsidP="00000000" w:rsidRDefault="00000000" w:rsidRPr="00000000" w14:paraId="000000E2">
            <w:pPr>
              <w:rPr/>
            </w:pPr>
            <w:r>
              <w:rPr>
                <w:rFonts w:ascii="Arial" w:cs="Arial" w:eastAsia="Arial" w:hAnsi="Arial"/>
                <w:b w:val="1"/>
                <w:bCs w:val="1"/>
                <w:color w:val="ffffff"/>
                <w:sz w:val="20"/>
                <w:szCs w:val="20"/>
                <w:rtl w:val="0"/>
              </w:rPr>
              <w:t xml:space="preserve">Programme Year</w:t>
            </w:r>
            <w:r>
              <w:rPr>
                <w:rtl w:val="0"/>
              </w:rPr>
            </w:r>
          </w:p>
        </w:tc>
        <w:tc>
          <w:tcPr>
            <w:tcBorders>
              <w:top w:color="cccccc" w:space="0" w:sz="4" w:val="single"/>
              <w:left w:color="cccccc" w:space="0" w:sz="4" w:val="single"/>
              <w:bottom w:color="cccccc" w:space="0" w:sz="4" w:val="single"/>
              <w:right w:color="cccccc" w:space="0" w:sz="4" w:val="single"/>
            </w:tcBorders>
            <w:shd w:fill="1f3864" w:val="clear"/>
            <w:tcMar>
              <w:top w:w="80.0" w:type="dxa"/>
              <w:left w:w="120.0" w:type="dxa"/>
              <w:bottom w:w="80.0" w:type="dxa"/>
              <w:right w:w="120.0" w:type="dxa"/>
            </w:tcMar>
            <w:vAlign w:val="center"/>
          </w:tcPr>
          <w:p w:rsidR="00000000" w:rsidDel="00000000" w:rsidP="00000000" w:rsidRDefault="00000000" w:rsidRPr="00000000" w14:paraId="000000E3">
            <w:pPr>
              <w:rPr/>
            </w:pPr>
            <w:r>
              <w:rPr>
                <w:rFonts w:ascii="Arial" w:cs="Arial" w:eastAsia="Arial" w:hAnsi="Arial"/>
                <w:b w:val="1"/>
                <w:bCs w:val="1"/>
                <w:color w:val="ffffff"/>
                <w:sz w:val="20"/>
                <w:szCs w:val="20"/>
                <w:rtl w:val="0"/>
              </w:rPr>
              <w:t xml:space="preserve">Y1</w:t>
            </w:r>
            <w:r>
              <w:rPr>
                <w:rtl w:val="0"/>
              </w:rPr>
            </w:r>
          </w:p>
        </w:tc>
        <w:tc>
          <w:tcPr>
            <w:tcBorders>
              <w:top w:color="cccccc" w:space="0" w:sz="4" w:val="single"/>
              <w:left w:color="cccccc" w:space="0" w:sz="4" w:val="single"/>
              <w:bottom w:color="cccccc" w:space="0" w:sz="4" w:val="single"/>
              <w:right w:color="cccccc" w:space="0" w:sz="4" w:val="single"/>
            </w:tcBorders>
            <w:shd w:fill="1f3864" w:val="clear"/>
            <w:tcMar>
              <w:top w:w="80.0" w:type="dxa"/>
              <w:left w:w="120.0" w:type="dxa"/>
              <w:bottom w:w="80.0" w:type="dxa"/>
              <w:right w:w="120.0" w:type="dxa"/>
            </w:tcMar>
            <w:vAlign w:val="center"/>
          </w:tcPr>
          <w:p w:rsidR="00000000" w:rsidDel="00000000" w:rsidP="00000000" w:rsidRDefault="00000000" w:rsidRPr="00000000" w14:paraId="000000E4">
            <w:pPr>
              <w:rPr/>
            </w:pPr>
            <w:r>
              <w:rPr>
                <w:rFonts w:ascii="Arial" w:cs="Arial" w:eastAsia="Arial" w:hAnsi="Arial"/>
                <w:b w:val="1"/>
                <w:bCs w:val="1"/>
                <w:color w:val="ffffff"/>
                <w:sz w:val="20"/>
                <w:szCs w:val="20"/>
                <w:rtl w:val="0"/>
              </w:rPr>
              <w:t xml:space="preserve">Y2</w:t>
            </w:r>
            <w:r>
              <w:rPr>
                <w:rtl w:val="0"/>
              </w:rPr>
            </w:r>
          </w:p>
        </w:tc>
        <w:tc>
          <w:tcPr>
            <w:tcBorders>
              <w:top w:color="cccccc" w:space="0" w:sz="4" w:val="single"/>
              <w:left w:color="cccccc" w:space="0" w:sz="4" w:val="single"/>
              <w:bottom w:color="cccccc" w:space="0" w:sz="4" w:val="single"/>
              <w:right w:color="cccccc" w:space="0" w:sz="4" w:val="single"/>
            </w:tcBorders>
            <w:shd w:fill="1f3864" w:val="clear"/>
            <w:tcMar>
              <w:top w:w="80.0" w:type="dxa"/>
              <w:left w:w="120.0" w:type="dxa"/>
              <w:bottom w:w="80.0" w:type="dxa"/>
              <w:right w:w="120.0" w:type="dxa"/>
            </w:tcMar>
            <w:vAlign w:val="center"/>
          </w:tcPr>
          <w:p w:rsidR="00000000" w:rsidDel="00000000" w:rsidP="00000000" w:rsidRDefault="00000000" w:rsidRPr="00000000" w14:paraId="000000E5">
            <w:pPr>
              <w:rPr/>
            </w:pPr>
            <w:r>
              <w:rPr>
                <w:rFonts w:ascii="Arial" w:cs="Arial" w:eastAsia="Arial" w:hAnsi="Arial"/>
                <w:b w:val="1"/>
                <w:bCs w:val="1"/>
                <w:color w:val="ffffff"/>
                <w:sz w:val="20"/>
                <w:szCs w:val="20"/>
                <w:rtl w:val="0"/>
              </w:rPr>
              <w:t xml:space="preserve">Y3</w:t>
            </w:r>
            <w:r>
              <w:rPr>
                <w:rtl w:val="0"/>
              </w:rPr>
            </w:r>
          </w:p>
        </w:tc>
        <w:tc>
          <w:tcPr>
            <w:tcBorders>
              <w:top w:color="cccccc" w:space="0" w:sz="4" w:val="single"/>
              <w:left w:color="cccccc" w:space="0" w:sz="4" w:val="single"/>
              <w:bottom w:color="cccccc" w:space="0" w:sz="4" w:val="single"/>
              <w:right w:color="cccccc" w:space="0" w:sz="4" w:val="single"/>
            </w:tcBorders>
            <w:shd w:fill="1f3864" w:val="clear"/>
            <w:tcMar>
              <w:top w:w="80.0" w:type="dxa"/>
              <w:left w:w="120.0" w:type="dxa"/>
              <w:bottom w:w="80.0" w:type="dxa"/>
              <w:right w:w="120.0" w:type="dxa"/>
            </w:tcMar>
            <w:vAlign w:val="center"/>
          </w:tcPr>
          <w:p w:rsidR="00000000" w:rsidDel="00000000" w:rsidP="00000000" w:rsidRDefault="00000000" w:rsidRPr="00000000" w14:paraId="000000E6">
            <w:pPr>
              <w:rPr/>
            </w:pPr>
            <w:r>
              <w:rPr>
                <w:rFonts w:ascii="Arial" w:cs="Arial" w:eastAsia="Arial" w:hAnsi="Arial"/>
                <w:b w:val="1"/>
                <w:bCs w:val="1"/>
                <w:color w:val="ffffff"/>
                <w:sz w:val="20"/>
                <w:szCs w:val="20"/>
                <w:rtl w:val="0"/>
              </w:rPr>
              <w:t xml:space="preserve">Y4</w:t>
            </w:r>
            <w:r>
              <w:rPr>
                <w:rtl w:val="0"/>
              </w:rPr>
            </w:r>
          </w:p>
        </w:tc>
        <w:tc>
          <w:tcPr>
            <w:tcBorders>
              <w:top w:color="cccccc" w:space="0" w:sz="4" w:val="single"/>
              <w:left w:color="cccccc" w:space="0" w:sz="4" w:val="single"/>
              <w:bottom w:color="cccccc" w:space="0" w:sz="4" w:val="single"/>
              <w:right w:color="cccccc" w:space="0" w:sz="4" w:val="single"/>
            </w:tcBorders>
            <w:shd w:fill="1f3864" w:val="clear"/>
            <w:tcMar>
              <w:top w:w="80.0" w:type="dxa"/>
              <w:left w:w="120.0" w:type="dxa"/>
              <w:bottom w:w="80.0" w:type="dxa"/>
              <w:right w:w="120.0" w:type="dxa"/>
            </w:tcMar>
            <w:vAlign w:val="center"/>
          </w:tcPr>
          <w:p w:rsidR="00000000" w:rsidDel="00000000" w:rsidP="00000000" w:rsidRDefault="00000000" w:rsidRPr="00000000" w14:paraId="000000E7">
            <w:pPr>
              <w:rPr/>
            </w:pPr>
            <w:r>
              <w:rPr>
                <w:rFonts w:ascii="Arial" w:cs="Arial" w:eastAsia="Arial" w:hAnsi="Arial"/>
                <w:b w:val="1"/>
                <w:bCs w:val="1"/>
                <w:color w:val="ffffff"/>
                <w:sz w:val="20"/>
                <w:szCs w:val="20"/>
                <w:rtl w:val="0"/>
              </w:rPr>
              <w:t xml:space="preserve">Y5</w:t>
            </w:r>
            <w:r>
              <w:rPr>
                <w:rtl w:val="0"/>
              </w:rPr>
            </w:r>
          </w:p>
        </w:tc>
        <w:tc>
          <w:tcPr>
            <w:tcBorders>
              <w:top w:color="cccccc" w:space="0" w:sz="4" w:val="single"/>
              <w:left w:color="cccccc" w:space="0" w:sz="4" w:val="single"/>
              <w:bottom w:color="cccccc" w:space="0" w:sz="4" w:val="single"/>
              <w:right w:color="cccccc" w:space="0" w:sz="4" w:val="single"/>
            </w:tcBorders>
            <w:shd w:fill="1f3864" w:val="clear"/>
            <w:tcMar>
              <w:top w:w="80.0" w:type="dxa"/>
              <w:left w:w="120.0" w:type="dxa"/>
              <w:bottom w:w="80.0" w:type="dxa"/>
              <w:right w:w="120.0" w:type="dxa"/>
            </w:tcMar>
            <w:vAlign w:val="center"/>
          </w:tcPr>
          <w:p w:rsidR="00000000" w:rsidDel="00000000" w:rsidP="00000000" w:rsidRDefault="00000000" w:rsidRPr="00000000" w14:paraId="000000E8">
            <w:pPr>
              <w:rPr/>
            </w:pPr>
            <w:r>
              <w:rPr>
                <w:rFonts w:ascii="Arial" w:cs="Arial" w:eastAsia="Arial" w:hAnsi="Arial"/>
                <w:b w:val="1"/>
                <w:bCs w:val="1"/>
                <w:color w:val="ffffff"/>
                <w:sz w:val="20"/>
                <w:szCs w:val="20"/>
                <w:rtl w:val="0"/>
              </w:rPr>
              <w:t xml:space="preserve">Y6</w:t>
            </w:r>
            <w:r>
              <w:rPr>
                <w:rtl w:val="0"/>
              </w:rPr>
            </w:r>
          </w:p>
        </w:tc>
        <w:tc>
          <w:tcPr>
            <w:tcBorders>
              <w:top w:color="cccccc" w:space="0" w:sz="4" w:val="single"/>
              <w:left w:color="cccccc" w:space="0" w:sz="4" w:val="single"/>
              <w:bottom w:color="cccccc" w:space="0" w:sz="4" w:val="single"/>
              <w:right w:color="cccccc" w:space="0" w:sz="4" w:val="single"/>
            </w:tcBorders>
            <w:shd w:fill="1f3864" w:val="clear"/>
            <w:tcMar>
              <w:top w:w="80.0" w:type="dxa"/>
              <w:left w:w="120.0" w:type="dxa"/>
              <w:bottom w:w="80.0" w:type="dxa"/>
              <w:right w:w="120.0" w:type="dxa"/>
            </w:tcMar>
            <w:vAlign w:val="center"/>
          </w:tcPr>
          <w:p w:rsidR="00000000" w:rsidDel="00000000" w:rsidP="00000000" w:rsidRDefault="00000000" w:rsidRPr="00000000" w14:paraId="000000E9">
            <w:pPr>
              <w:rPr/>
            </w:pPr>
            <w:r>
              <w:rPr>
                <w:rFonts w:ascii="Arial" w:cs="Arial" w:eastAsia="Arial" w:hAnsi="Arial"/>
                <w:b w:val="1"/>
                <w:bCs w:val="1"/>
                <w:color w:val="ffffff"/>
                <w:sz w:val="20"/>
                <w:szCs w:val="20"/>
                <w:rtl w:val="0"/>
              </w:rPr>
              <w:t xml:space="preserve">Y7</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EA">
            <w:pPr>
              <w:rPr/>
            </w:pPr>
            <w:r>
              <w:rPr>
                <w:rFonts w:ascii="Arial" w:cs="Arial" w:eastAsia="Arial" w:hAnsi="Arial"/>
                <w:b w:val="0"/>
                <w:bCs w:val="0"/>
                <w:color w:val="000000"/>
                <w:sz w:val="20"/>
                <w:szCs w:val="20"/>
                <w:rtl w:val="0"/>
              </w:rPr>
              <w:t xml:space="preserve">Self-Funded %</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EB">
            <w:pPr>
              <w:rPr/>
            </w:pPr>
            <w:r>
              <w:rPr>
                <w:rFonts w:ascii="Arial" w:cs="Arial" w:eastAsia="Arial" w:hAnsi="Arial"/>
                <w:b w:val="0"/>
                <w:bCs w:val="0"/>
                <w:color w:val="000000"/>
                <w:sz w:val="20"/>
                <w:szCs w:val="20"/>
                <w:rtl w:val="0"/>
              </w:rPr>
              <w:t xml:space="preserve">0%</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EC">
            <w:pPr>
              <w:rPr/>
            </w:pPr>
            <w:r>
              <w:rPr>
                <w:rFonts w:ascii="Arial" w:cs="Arial" w:eastAsia="Arial" w:hAnsi="Arial"/>
                <w:b w:val="0"/>
                <w:bCs w:val="0"/>
                <w:color w:val="000000"/>
                <w:sz w:val="20"/>
                <w:szCs w:val="20"/>
                <w:rtl w:val="0"/>
              </w:rPr>
              <w:t xml:space="preserve">0%</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ED">
            <w:pPr>
              <w:rPr/>
            </w:pPr>
            <w:r>
              <w:rPr>
                <w:rFonts w:ascii="Arial" w:cs="Arial" w:eastAsia="Arial" w:hAnsi="Arial"/>
                <w:b w:val="0"/>
                <w:bCs w:val="0"/>
                <w:color w:val="000000"/>
                <w:sz w:val="20"/>
                <w:szCs w:val="20"/>
                <w:rtl w:val="0"/>
              </w:rPr>
              <w:t xml:space="preserve">7%</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EE">
            <w:pPr>
              <w:rPr/>
            </w:pPr>
            <w:r>
              <w:rPr>
                <w:rFonts w:ascii="Arial" w:cs="Arial" w:eastAsia="Arial" w:hAnsi="Arial"/>
                <w:b w:val="0"/>
                <w:bCs w:val="0"/>
                <w:color w:val="000000"/>
                <w:sz w:val="20"/>
                <w:szCs w:val="20"/>
                <w:rtl w:val="0"/>
              </w:rPr>
              <w:t xml:space="preserve">21%</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EF">
            <w:pPr>
              <w:rPr/>
            </w:pPr>
            <w:r>
              <w:rPr>
                <w:rFonts w:ascii="Arial" w:cs="Arial" w:eastAsia="Arial" w:hAnsi="Arial"/>
                <w:b w:val="0"/>
                <w:bCs w:val="0"/>
                <w:color w:val="000000"/>
                <w:sz w:val="20"/>
                <w:szCs w:val="20"/>
                <w:rtl w:val="0"/>
              </w:rPr>
              <w:t xml:space="preserve">44%</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F0">
            <w:pPr>
              <w:rPr/>
            </w:pPr>
            <w:r>
              <w:rPr>
                <w:rFonts w:ascii="Arial" w:cs="Arial" w:eastAsia="Arial" w:hAnsi="Arial"/>
                <w:b w:val="0"/>
                <w:bCs w:val="0"/>
                <w:color w:val="000000"/>
                <w:sz w:val="20"/>
                <w:szCs w:val="20"/>
                <w:rtl w:val="0"/>
              </w:rPr>
              <w:t xml:space="preserve">62%</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F1">
            <w:pPr>
              <w:rPr/>
            </w:pPr>
            <w:r>
              <w:rPr>
                <w:rFonts w:ascii="Arial" w:cs="Arial" w:eastAsia="Arial" w:hAnsi="Arial"/>
                <w:b w:val="0"/>
                <w:bCs w:val="0"/>
                <w:color w:val="000000"/>
                <w:sz w:val="20"/>
                <w:szCs w:val="20"/>
                <w:rtl w:val="0"/>
              </w:rPr>
              <w:t xml:space="preserve">95%</w:t>
            </w:r>
            <w:r>
              <w:rPr>
                <w:rtl w:val="0"/>
              </w:rPr>
            </w:r>
          </w:p>
        </w:tc>
      </w:tr>
    </w:tbl>
    <w:p w:rsidR="00000000" w:rsidDel="00000000" w:rsidP="00000000" w:rsidRDefault="00000000" w:rsidRPr="00000000" w14:paraId="000000F2">
      <w:pPr>
        <w:spacing w:after="160" w:lineRule="auto"/>
        <w:rPr/>
      </w:pPr>
      <w:r>
        <w:rPr>
          <w:rtl w:val="0"/>
        </w:rPr>
      </w:r>
    </w:p>
    <w:p w:rsidR="00000000" w:rsidDel="00000000" w:rsidP="00000000" w:rsidRDefault="00000000" w:rsidRPr="00000000" w14:paraId="000000F3">
      <w:pPr>
        <w:spacing w:after="160" w:lineRule="auto"/>
        <w:rPr/>
      </w:pPr>
      <w:r>
        <w:rPr>
          <w:rFonts w:ascii="Arial" w:cs="Arial" w:eastAsia="Arial" w:hAnsi="Arial"/>
          <w:color w:val="000000"/>
          <w:sz w:val="22"/>
          <w:szCs w:val="22"/>
          <w:rtl w:val="0"/>
        </w:rPr>
        <w:t xml:space="preserve">The sustainability crossover—the point at which earned revenue exceeds 50% of total revenue—occurs between Programme Years 5 and 6. Revenue is zero during Tranche 1 (Y1–Y2), then follows an S-curve through Tranches 2 and 3. By Programme Year 7, the project is 95% self-funded.</w:t>
      </w:r>
      <w:r>
        <w:rPr>
          <w:rtl w:val="0"/>
        </w:rPr>
      </w:r>
    </w:p>
    <w:p w:rsidR="00000000" w:rsidDel="00000000" w:rsidP="00000000" w:rsidRDefault="00000000" w:rsidRPr="00000000" w14:paraId="000000F4">
      <w:pPr>
        <w:rPr/>
      </w:pPr>
      <w:r>
        <w:br w:type="page"/>
      </w:r>
      <w:r>
        <w:rPr>
          <w:rtl w:val="0"/>
        </w:rPr>
      </w:r>
    </w:p>
    <w:p w:rsidR="00000000" w:rsidDel="00000000" w:rsidP="00000000" w:rsidRDefault="00000000" w:rsidRPr="00000000" w14:paraId="000000F5">
      <w:pPr>
        <w:pStyle w:val="Heading1"/>
        <w:spacing w:after="200" w:before="360" w:lineRule="auto"/>
        <w:rPr/>
      </w:pPr>
      <w:r>
        <w:rPr>
          <w:rFonts w:ascii="Arial" w:cs="Arial" w:eastAsia="Arial" w:hAnsi="Arial"/>
          <w:b w:val="1"/>
          <w:bCs w:val="1"/>
          <w:color w:val="1f3864"/>
          <w:sz w:val="32"/>
          <w:szCs w:val="32"/>
          <w:rtl w:val="0"/>
        </w:rPr>
        <w:t xml:space="preserve">6. Staffing and Operations</w:t>
      </w:r>
      <w:r>
        <w:rPr>
          <w:rtl w:val="0"/>
        </w:rPr>
      </w:r>
    </w:p>
    <w:p w:rsidR="00000000" w:rsidDel="00000000" w:rsidP="00000000" w:rsidRDefault="00000000" w:rsidRPr="00000000" w14:paraId="000000F6">
      <w:pPr>
        <w:pStyle w:val="Heading2"/>
        <w:spacing w:after="160" w:before="280" w:lineRule="auto"/>
        <w:rPr/>
      </w:pPr>
      <w:r>
        <w:rPr>
          <w:rFonts w:ascii="Arial" w:cs="Arial" w:eastAsia="Arial" w:hAnsi="Arial"/>
          <w:b w:val="1"/>
          <w:bCs w:val="1"/>
          <w:color w:val="2f5496"/>
          <w:sz w:val="26"/>
          <w:szCs w:val="26"/>
          <w:rtl w:val="0"/>
        </w:rPr>
        <w:t xml:space="preserve">6.1 Organizational Structure</w:t>
      </w:r>
      <w:r>
        <w:rPr>
          <w:rtl w:val="0"/>
        </w:rPr>
      </w:r>
    </w:p>
    <w:p w:rsidR="00000000" w:rsidDel="00000000" w:rsidP="00000000" w:rsidRDefault="00000000" w:rsidRPr="00000000" w14:paraId="000000F7">
      <w:pPr>
        <w:spacing w:after="160" w:lineRule="auto"/>
        <w:rPr/>
      </w:pPr>
      <w:r>
        <w:rPr>
          <w:rFonts w:ascii="Arial" w:cs="Arial" w:eastAsia="Arial" w:hAnsi="Arial"/>
          <w:color w:val="000000"/>
          <w:sz w:val="22"/>
          <w:szCs w:val="22"/>
          <w:rtl w:val="0"/>
        </w:rPr>
        <w:t xml:space="preserve">The Foundation’s staffing profile reflects its identity as a technical stewardship organization, not an implementing NGO:</w:t>
      </w:r>
      <w:r>
        <w:rPr>
          <w:rtl w:val="0"/>
        </w:rPr>
      </w:r>
    </w:p>
    <w:p w:rsidR="00000000" w:rsidDel="00000000" w:rsidP="00000000" w:rsidRDefault="00000000" w:rsidRPr="00000000" w14:paraId="000000F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Pr>
          <w:rFonts w:ascii="Arial" w:cs="Arial" w:eastAsia="Arial" w:hAnsi="Arial"/>
          <w:b w:val="1"/>
          <w:bCs w:val="1"/>
          <w:i w:val="0"/>
          <w:iCs w:val="0"/>
          <w:smallCaps w:val="0"/>
          <w:strike w:val="0"/>
          <w:color w:val="000000"/>
          <w:sz w:val="22"/>
          <w:szCs w:val="22"/>
          <w:u w:val="none"/>
          <w:shd w:fill="auto" w:val="clear"/>
          <w:vertAlign w:val="baseline"/>
          <w:rtl w:val="0"/>
        </w:rPr>
        <w:t xml:space="preserve">Platform engineering team: </w:t>
      </w:r>
      <w:r>
        <w:rPr>
          <w:rFonts w:ascii="Arial" w:cs="Arial" w:eastAsia="Arial" w:hAnsi="Arial"/>
          <w:b w:val="0"/>
          <w:bCs w:val="0"/>
          <w:i w:val="0"/>
          <w:iCs w:val="0"/>
          <w:smallCaps w:val="0"/>
          <w:strike w:val="0"/>
          <w:color w:val="000000"/>
          <w:sz w:val="22"/>
          <w:szCs w:val="22"/>
          <w:u w:val="none"/>
          <w:shd w:fill="auto" w:val="clear"/>
          <w:vertAlign w:val="baseline"/>
          <w:rtl w:val="0"/>
        </w:rPr>
        <w:t xml:space="preserve">The largest function. 80–100 FTE at maturity (Y5+), comprising software developers, DevOps/SRE engineers, security specialists, QA engineers, and technical architects. During Y1–Y2, this team ramps from ~20 FTE.</w:t>
      </w:r>
    </w:p>
    <w:p w:rsidR="00000000" w:rsidDel="00000000" w:rsidP="00000000" w:rsidRDefault="00000000" w:rsidRPr="00000000" w14:paraId="000000F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Pr>
          <w:rFonts w:ascii="Arial" w:cs="Arial" w:eastAsia="Arial" w:hAnsi="Arial"/>
          <w:b w:val="1"/>
          <w:bCs w:val="1"/>
          <w:i w:val="0"/>
          <w:iCs w:val="0"/>
          <w:smallCaps w:val="0"/>
          <w:strike w:val="0"/>
          <w:color w:val="000000"/>
          <w:sz w:val="22"/>
          <w:szCs w:val="22"/>
          <w:u w:val="none"/>
          <w:shd w:fill="auto" w:val="clear"/>
          <w:vertAlign w:val="baseline"/>
          <w:rtl w:val="0"/>
        </w:rPr>
        <w:t xml:space="preserve">Ecosystem governance: </w:t>
      </w:r>
      <w:r>
        <w:rPr>
          <w:rFonts w:ascii="Arial" w:cs="Arial" w:eastAsia="Arial" w:hAnsi="Arial"/>
          <w:b w:val="0"/>
          <w:bCs w:val="0"/>
          <w:i w:val="0"/>
          <w:iCs w:val="0"/>
          <w:smallCaps w:val="0"/>
          <w:strike w:val="0"/>
          <w:color w:val="000000"/>
          <w:sz w:val="22"/>
          <w:szCs w:val="22"/>
          <w:u w:val="none"/>
          <w:shd w:fill="auto" w:val="clear"/>
          <w:vertAlign w:val="baseline"/>
          <w:rtl w:val="0"/>
        </w:rPr>
        <w:t xml:space="preserve">Certification program management, trademark enforcement, test suite development, partner relations. ~10 FTE at maturity.</w:t>
      </w:r>
    </w:p>
    <w:p w:rsidR="00000000" w:rsidDel="00000000" w:rsidP="00000000" w:rsidRDefault="00000000" w:rsidRPr="00000000" w14:paraId="000000F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Pr>
          <w:rFonts w:ascii="Arial" w:cs="Arial" w:eastAsia="Arial" w:hAnsi="Arial"/>
          <w:b w:val="1"/>
          <w:bCs w:val="1"/>
          <w:i w:val="0"/>
          <w:iCs w:val="0"/>
          <w:smallCaps w:val="0"/>
          <w:strike w:val="0"/>
          <w:color w:val="000000"/>
          <w:sz w:val="22"/>
          <w:szCs w:val="22"/>
          <w:u w:val="none"/>
          <w:shd w:fill="auto" w:val="clear"/>
          <w:vertAlign w:val="baseline"/>
          <w:rtl w:val="0"/>
        </w:rPr>
        <w:t xml:space="preserve">Institutional incubation: </w:t>
      </w:r>
      <w:r>
        <w:rPr>
          <w:rFonts w:ascii="Arial" w:cs="Arial" w:eastAsia="Arial" w:hAnsi="Arial"/>
          <w:b w:val="0"/>
          <w:bCs w:val="0"/>
          <w:i w:val="0"/>
          <w:iCs w:val="0"/>
          <w:smallCaps w:val="0"/>
          <w:strike w:val="0"/>
          <w:color w:val="000000"/>
          <w:sz w:val="22"/>
          <w:szCs w:val="22"/>
          <w:u w:val="none"/>
          <w:shd w:fill="auto" w:val="clear"/>
          <w:vertAlign w:val="baseline"/>
          <w:rtl w:val="0"/>
        </w:rPr>
        <w:t xml:space="preserve">4 dedicated FTE (2 for Professional Bodies, 2 for Product Associations). Transitional—these roles sunset as institutions spin out to independence.</w:t>
      </w:r>
    </w:p>
    <w:p w:rsidR="00000000" w:rsidDel="00000000" w:rsidP="00000000" w:rsidRDefault="00000000" w:rsidRPr="00000000" w14:paraId="000000F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Pr>
          <w:rFonts w:ascii="Arial" w:cs="Arial" w:eastAsia="Arial" w:hAnsi="Arial"/>
          <w:b w:val="1"/>
          <w:bCs w:val="1"/>
          <w:i w:val="0"/>
          <w:iCs w:val="0"/>
          <w:smallCaps w:val="0"/>
          <w:strike w:val="0"/>
          <w:color w:val="000000"/>
          <w:sz w:val="22"/>
          <w:szCs w:val="22"/>
          <w:u w:val="none"/>
          <w:shd w:fill="auto" w:val="clear"/>
          <w:vertAlign w:val="baseline"/>
          <w:rtl w:val="0"/>
        </w:rPr>
        <w:t xml:space="preserve">SpoDit governance: </w:t>
      </w:r>
      <w:r>
        <w:rPr>
          <w:rFonts w:ascii="Arial" w:cs="Arial" w:eastAsia="Arial" w:hAnsi="Arial"/>
          <w:b w:val="0"/>
          <w:bCs w:val="0"/>
          <w:i w:val="0"/>
          <w:iCs w:val="0"/>
          <w:smallCaps w:val="0"/>
          <w:strike w:val="0"/>
          <w:color w:val="000000"/>
          <w:sz w:val="22"/>
          <w:szCs w:val="22"/>
          <w:u w:val="none"/>
          <w:shd w:fill="auto" w:val="clear"/>
          <w:vertAlign w:val="baseline"/>
          <w:rtl w:val="0"/>
        </w:rPr>
        <w:t xml:space="preserve">Rule-setting, compliance monitoring, jurisdictional analysis. ~3–5 FTE, embedded within ecosystem governance.</w:t>
      </w:r>
    </w:p>
    <w:p w:rsidR="00000000" w:rsidDel="00000000" w:rsidP="00000000" w:rsidRDefault="00000000" w:rsidRPr="00000000" w14:paraId="000000F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Pr>
          <w:rFonts w:ascii="Arial" w:cs="Arial" w:eastAsia="Arial" w:hAnsi="Arial"/>
          <w:b w:val="1"/>
          <w:bCs w:val="1"/>
          <w:i w:val="0"/>
          <w:iCs w:val="0"/>
          <w:smallCaps w:val="0"/>
          <w:strike w:val="0"/>
          <w:color w:val="000000"/>
          <w:sz w:val="22"/>
          <w:szCs w:val="22"/>
          <w:u w:val="none"/>
          <w:shd w:fill="auto" w:val="clear"/>
          <w:vertAlign w:val="baseline"/>
          <w:rtl w:val="0"/>
        </w:rPr>
        <w:t xml:space="preserve">Foundation administration: </w:t>
      </w:r>
      <w:r>
        <w:rPr>
          <w:rFonts w:ascii="Arial" w:cs="Arial" w:eastAsia="Arial" w:hAnsi="Arial"/>
          <w:b w:val="0"/>
          <w:bCs w:val="0"/>
          <w:i w:val="0"/>
          <w:iCs w:val="0"/>
          <w:smallCaps w:val="0"/>
          <w:strike w:val="0"/>
          <w:color w:val="000000"/>
          <w:sz w:val="22"/>
          <w:szCs w:val="22"/>
          <w:u w:val="none"/>
          <w:shd w:fill="auto" w:val="clear"/>
          <w:vertAlign w:val="baseline"/>
          <w:rtl w:val="0"/>
        </w:rPr>
        <w:t xml:space="preserve">CEO/Executive Director, board support, legal counsel, finance, HR, DP relations. ~10–15 FTE.</w:t>
      </w:r>
    </w:p>
    <w:p w:rsidR="00000000" w:rsidDel="00000000" w:rsidP="00000000" w:rsidRDefault="00000000" w:rsidRPr="00000000" w14:paraId="000000FD">
      <w:pPr>
        <w:pStyle w:val="Heading2"/>
        <w:spacing w:after="160" w:before="280" w:lineRule="auto"/>
        <w:rPr/>
      </w:pPr>
      <w:r>
        <w:rPr>
          <w:rFonts w:ascii="Arial" w:cs="Arial" w:eastAsia="Arial" w:hAnsi="Arial"/>
          <w:b w:val="1"/>
          <w:bCs w:val="1"/>
          <w:color w:val="2f5496"/>
          <w:sz w:val="26"/>
          <w:szCs w:val="26"/>
          <w:rtl w:val="0"/>
        </w:rPr>
        <w:t xml:space="preserve">6.2 Comparable Organizations</w:t>
      </w:r>
      <w:r>
        <w:rPr>
          <w:rtl w:val="0"/>
        </w:rPr>
      </w:r>
    </w:p>
    <w:p w:rsidR="00000000" w:rsidDel="00000000" w:rsidP="00000000" w:rsidRDefault="00000000" w:rsidRPr="00000000" w14:paraId="000000FE">
      <w:pPr>
        <w:spacing w:after="160" w:lineRule="auto"/>
        <w:rPr/>
      </w:pPr>
      <w:r>
        <w:rPr>
          <w:rFonts w:ascii="Arial" w:cs="Arial" w:eastAsia="Arial" w:hAnsi="Arial"/>
          <w:color w:val="000000"/>
          <w:sz w:val="22"/>
          <w:szCs w:val="22"/>
          <w:rtl w:val="0"/>
        </w:rPr>
        <w:t xml:space="preserve">The Foundation’s staffing and operational model is benchmarked against:</w:t>
      </w:r>
      <w:r>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1800"/>
        <w:gridCol w:w="2400"/>
        <w:gridCol w:w="2960"/>
        <w:tblGridChange w:id="0">
          <w:tblGrid>
            <w:gridCol w:w="2200"/>
            <w:gridCol w:w="1800"/>
            <w:gridCol w:w="2400"/>
            <w:gridCol w:w="29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3864" w:val="clear"/>
            <w:tcMar>
              <w:top w:w="80.0" w:type="dxa"/>
              <w:left w:w="120.0" w:type="dxa"/>
              <w:bottom w:w="80.0" w:type="dxa"/>
              <w:right w:w="120.0" w:type="dxa"/>
            </w:tcMar>
            <w:vAlign w:val="center"/>
          </w:tcPr>
          <w:p w:rsidR="00000000" w:rsidDel="00000000" w:rsidP="00000000" w:rsidRDefault="00000000" w:rsidRPr="00000000" w14:paraId="000000FF">
            <w:pPr>
              <w:rPr/>
            </w:pPr>
            <w:r>
              <w:rPr>
                <w:rFonts w:ascii="Arial" w:cs="Arial" w:eastAsia="Arial" w:hAnsi="Arial"/>
                <w:b w:val="1"/>
                <w:bCs w:val="1"/>
                <w:color w:val="ffffff"/>
                <w:sz w:val="20"/>
                <w:szCs w:val="20"/>
                <w:rtl w:val="0"/>
              </w:rPr>
              <w:t xml:space="preserve">Organization</w:t>
            </w:r>
            <w:r>
              <w:rPr>
                <w:rtl w:val="0"/>
              </w:rPr>
            </w:r>
          </w:p>
        </w:tc>
        <w:tc>
          <w:tcPr>
            <w:tcBorders>
              <w:top w:color="cccccc" w:space="0" w:sz="4" w:val="single"/>
              <w:left w:color="cccccc" w:space="0" w:sz="4" w:val="single"/>
              <w:bottom w:color="cccccc" w:space="0" w:sz="4" w:val="single"/>
              <w:right w:color="cccccc" w:space="0" w:sz="4" w:val="single"/>
            </w:tcBorders>
            <w:shd w:fill="1f3864" w:val="clear"/>
            <w:tcMar>
              <w:top w:w="80.0" w:type="dxa"/>
              <w:left w:w="120.0" w:type="dxa"/>
              <w:bottom w:w="80.0" w:type="dxa"/>
              <w:right w:w="120.0" w:type="dxa"/>
            </w:tcMar>
            <w:vAlign w:val="center"/>
          </w:tcPr>
          <w:p w:rsidR="00000000" w:rsidDel="00000000" w:rsidP="00000000" w:rsidRDefault="00000000" w:rsidRPr="00000000" w14:paraId="00000100">
            <w:pPr>
              <w:rPr/>
            </w:pPr>
            <w:r>
              <w:rPr>
                <w:rFonts w:ascii="Arial" w:cs="Arial" w:eastAsia="Arial" w:hAnsi="Arial"/>
                <w:b w:val="1"/>
                <w:bCs w:val="1"/>
                <w:color w:val="ffffff"/>
                <w:sz w:val="20"/>
                <w:szCs w:val="20"/>
                <w:rtl w:val="0"/>
              </w:rPr>
              <w:t xml:space="preserve">Annual Budget</w:t>
            </w:r>
            <w:r>
              <w:rPr>
                <w:rtl w:val="0"/>
              </w:rPr>
            </w:r>
          </w:p>
        </w:tc>
        <w:tc>
          <w:tcPr>
            <w:tcBorders>
              <w:top w:color="cccccc" w:space="0" w:sz="4" w:val="single"/>
              <w:left w:color="cccccc" w:space="0" w:sz="4" w:val="single"/>
              <w:bottom w:color="cccccc" w:space="0" w:sz="4" w:val="single"/>
              <w:right w:color="cccccc" w:space="0" w:sz="4" w:val="single"/>
            </w:tcBorders>
            <w:shd w:fill="1f3864" w:val="clear"/>
            <w:tcMar>
              <w:top w:w="80.0" w:type="dxa"/>
              <w:left w:w="120.0" w:type="dxa"/>
              <w:bottom w:w="80.0" w:type="dxa"/>
              <w:right w:w="120.0" w:type="dxa"/>
            </w:tcMar>
            <w:vAlign w:val="center"/>
          </w:tcPr>
          <w:p w:rsidR="00000000" w:rsidDel="00000000" w:rsidP="00000000" w:rsidRDefault="00000000" w:rsidRPr="00000000" w14:paraId="00000101">
            <w:pPr>
              <w:rPr/>
            </w:pPr>
            <w:r>
              <w:rPr>
                <w:rFonts w:ascii="Arial" w:cs="Arial" w:eastAsia="Arial" w:hAnsi="Arial"/>
                <w:b w:val="1"/>
                <w:bCs w:val="1"/>
                <w:color w:val="ffffff"/>
                <w:sz w:val="20"/>
                <w:szCs w:val="20"/>
                <w:rtl w:val="0"/>
              </w:rPr>
              <w:t xml:space="preserve">Core Team</w:t>
            </w:r>
            <w:r>
              <w:rPr>
                <w:rtl w:val="0"/>
              </w:rPr>
            </w:r>
          </w:p>
        </w:tc>
        <w:tc>
          <w:tcPr>
            <w:tcBorders>
              <w:top w:color="cccccc" w:space="0" w:sz="4" w:val="single"/>
              <w:left w:color="cccccc" w:space="0" w:sz="4" w:val="single"/>
              <w:bottom w:color="cccccc" w:space="0" w:sz="4" w:val="single"/>
              <w:right w:color="cccccc" w:space="0" w:sz="4" w:val="single"/>
            </w:tcBorders>
            <w:shd w:fill="1f3864" w:val="clear"/>
            <w:tcMar>
              <w:top w:w="80.0" w:type="dxa"/>
              <w:left w:w="120.0" w:type="dxa"/>
              <w:bottom w:w="80.0" w:type="dxa"/>
              <w:right w:w="120.0" w:type="dxa"/>
            </w:tcMar>
            <w:vAlign w:val="center"/>
          </w:tcPr>
          <w:p w:rsidR="00000000" w:rsidDel="00000000" w:rsidP="00000000" w:rsidRDefault="00000000" w:rsidRPr="00000000" w14:paraId="00000102">
            <w:pPr>
              <w:rPr/>
            </w:pPr>
            <w:r>
              <w:rPr>
                <w:rFonts w:ascii="Arial" w:cs="Arial" w:eastAsia="Arial" w:hAnsi="Arial"/>
                <w:b w:val="1"/>
                <w:bCs w:val="1"/>
                <w:color w:val="ffffff"/>
                <w:sz w:val="20"/>
                <w:szCs w:val="20"/>
                <w:rtl w:val="0"/>
              </w:rPr>
              <w:t xml:space="preserve">Primary Revenue</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03">
            <w:pPr>
              <w:rPr/>
            </w:pPr>
            <w:r>
              <w:rPr>
                <w:rFonts w:ascii="Arial" w:cs="Arial" w:eastAsia="Arial" w:hAnsi="Arial"/>
                <w:b w:val="0"/>
                <w:bCs w:val="0"/>
                <w:color w:val="000000"/>
                <w:sz w:val="20"/>
                <w:szCs w:val="20"/>
                <w:rtl w:val="0"/>
              </w:rPr>
              <w:t xml:space="preserve">Moodle HQ</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04">
            <w:pPr>
              <w:rPr/>
            </w:pPr>
            <w:r>
              <w:rPr>
                <w:rFonts w:ascii="Arial" w:cs="Arial" w:eastAsia="Arial" w:hAnsi="Arial"/>
                <w:b w:val="0"/>
                <w:bCs w:val="0"/>
                <w:color w:val="000000"/>
                <w:sz w:val="20"/>
                <w:szCs w:val="20"/>
                <w:rtl w:val="0"/>
              </w:rPr>
              <w:t xml:space="preserve">~$24M</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05">
            <w:pPr>
              <w:rPr/>
            </w:pPr>
            <w:r>
              <w:rPr>
                <w:rFonts w:ascii="Arial" w:cs="Arial" w:eastAsia="Arial" w:hAnsi="Arial"/>
                <w:b w:val="0"/>
                <w:bCs w:val="0"/>
                <w:color w:val="000000"/>
                <w:sz w:val="20"/>
                <w:szCs w:val="20"/>
                <w:rtl w:val="0"/>
              </w:rPr>
              <w:t xml:space="preserve">80–100 FTE</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06">
            <w:pPr>
              <w:rPr/>
            </w:pPr>
            <w:r>
              <w:rPr>
                <w:rFonts w:ascii="Arial" w:cs="Arial" w:eastAsia="Arial" w:hAnsi="Arial"/>
                <w:b w:val="0"/>
                <w:bCs w:val="0"/>
                <w:color w:val="000000"/>
                <w:sz w:val="20"/>
                <w:szCs w:val="20"/>
                <w:rtl w:val="0"/>
              </w:rPr>
              <w:t xml:space="preserve">Certified Partner royalties (10% gross)</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07">
            <w:pPr>
              <w:rPr/>
            </w:pPr>
            <w:r>
              <w:rPr>
                <w:rFonts w:ascii="Arial" w:cs="Arial" w:eastAsia="Arial" w:hAnsi="Arial"/>
                <w:b w:val="0"/>
                <w:bCs w:val="0"/>
                <w:color w:val="000000"/>
                <w:sz w:val="20"/>
                <w:szCs w:val="20"/>
                <w:rtl w:val="0"/>
              </w:rPr>
              <w:t xml:space="preserve">DHIS2/HISP Centre</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08">
            <w:pPr>
              <w:rPr/>
            </w:pPr>
            <w:r>
              <w:rPr>
                <w:rFonts w:ascii="Arial" w:cs="Arial" w:eastAsia="Arial" w:hAnsi="Arial"/>
                <w:b w:val="0"/>
                <w:bCs w:val="0"/>
                <w:color w:val="000000"/>
                <w:sz w:val="20"/>
                <w:szCs w:val="20"/>
                <w:rtl w:val="0"/>
              </w:rPr>
              <w:t xml:space="preserve">~$23M</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09">
            <w:pPr>
              <w:rPr/>
            </w:pPr>
            <w:r>
              <w:rPr>
                <w:rFonts w:ascii="Arial" w:cs="Arial" w:eastAsia="Arial" w:hAnsi="Arial"/>
                <w:b w:val="0"/>
                <w:bCs w:val="0"/>
                <w:color w:val="000000"/>
                <w:sz w:val="20"/>
                <w:szCs w:val="20"/>
                <w:rtl w:val="0"/>
              </w:rPr>
              <w:t xml:space="preserve">~60 FTE + HISP network</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0A">
            <w:pPr>
              <w:rPr/>
            </w:pPr>
            <w:r>
              <w:rPr>
                <w:rFonts w:ascii="Arial" w:cs="Arial" w:eastAsia="Arial" w:hAnsi="Arial"/>
                <w:b w:val="0"/>
                <w:bCs w:val="0"/>
                <w:color w:val="000000"/>
                <w:sz w:val="20"/>
                <w:szCs w:val="20"/>
                <w:rtl w:val="0"/>
              </w:rPr>
              <w:t xml:space="preserve">Multi-donor grants (transitioning)</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0B">
            <w:pPr>
              <w:rPr/>
            </w:pPr>
            <w:r>
              <w:rPr>
                <w:rFonts w:ascii="Arial" w:cs="Arial" w:eastAsia="Arial" w:hAnsi="Arial"/>
                <w:b w:val="0"/>
                <w:bCs w:val="0"/>
                <w:color w:val="000000"/>
                <w:sz w:val="20"/>
                <w:szCs w:val="20"/>
                <w:rtl w:val="0"/>
              </w:rPr>
              <w:t xml:space="preserve">Axim/Open edX</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0C">
            <w:pPr>
              <w:rPr/>
            </w:pPr>
            <w:r>
              <w:rPr>
                <w:rFonts w:ascii="Arial" w:cs="Arial" w:eastAsia="Arial" w:hAnsi="Arial"/>
                <w:b w:val="0"/>
                <w:bCs w:val="0"/>
                <w:color w:val="000000"/>
                <w:sz w:val="20"/>
                <w:szCs w:val="20"/>
                <w:rtl w:val="0"/>
              </w:rPr>
              <w:t xml:space="preserve">~$25–30M</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0D">
            <w:pPr>
              <w:rPr/>
            </w:pPr>
            <w:r>
              <w:rPr>
                <w:rFonts w:ascii="Arial" w:cs="Arial" w:eastAsia="Arial" w:hAnsi="Arial"/>
                <w:b w:val="0"/>
                <w:bCs w:val="0"/>
                <w:color w:val="000000"/>
                <w:sz w:val="20"/>
                <w:szCs w:val="20"/>
                <w:rtl w:val="0"/>
              </w:rPr>
              <w:t xml:space="preserve">~80 FTE</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0E">
            <w:pPr>
              <w:rPr/>
            </w:pPr>
            <w:r>
              <w:rPr>
                <w:rFonts w:ascii="Arial" w:cs="Arial" w:eastAsia="Arial" w:hAnsi="Arial"/>
                <w:b w:val="0"/>
                <w:bCs w:val="0"/>
                <w:color w:val="000000"/>
                <w:sz w:val="20"/>
                <w:szCs w:val="20"/>
                <w:rtl w:val="0"/>
              </w:rPr>
              <w:t xml:space="preserve">Membership + services</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0F">
            <w:pPr>
              <w:rPr/>
            </w:pPr>
            <w:r>
              <w:rPr>
                <w:rFonts w:ascii="Arial" w:cs="Arial" w:eastAsia="Arial" w:hAnsi="Arial"/>
                <w:b w:val="0"/>
                <w:bCs w:val="0"/>
                <w:color w:val="000000"/>
                <w:sz w:val="20"/>
                <w:szCs w:val="20"/>
                <w:rtl w:val="0"/>
              </w:rPr>
              <w:t xml:space="preserve">Linux Foundation</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10">
            <w:pPr>
              <w:rPr/>
            </w:pPr>
            <w:r>
              <w:rPr>
                <w:rFonts w:ascii="Arial" w:cs="Arial" w:eastAsia="Arial" w:hAnsi="Arial"/>
                <w:b w:val="0"/>
                <w:bCs w:val="0"/>
                <w:color w:val="000000"/>
                <w:sz w:val="20"/>
                <w:szCs w:val="20"/>
                <w:rtl w:val="0"/>
              </w:rPr>
              <w:t xml:space="preserve">~$311M</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11">
            <w:pPr>
              <w:rPr/>
            </w:pPr>
            <w:r>
              <w:rPr>
                <w:rFonts w:ascii="Arial" w:cs="Arial" w:eastAsia="Arial" w:hAnsi="Arial"/>
                <w:b w:val="0"/>
                <w:bCs w:val="0"/>
                <w:color w:val="000000"/>
                <w:sz w:val="20"/>
                <w:szCs w:val="20"/>
                <w:rtl w:val="0"/>
              </w:rPr>
              <w:t xml:space="preserve">~800 FTE</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12">
            <w:pPr>
              <w:rPr/>
            </w:pPr>
            <w:r>
              <w:rPr>
                <w:rFonts w:ascii="Arial" w:cs="Arial" w:eastAsia="Arial" w:hAnsi="Arial"/>
                <w:b w:val="0"/>
                <w:bCs w:val="0"/>
                <w:color w:val="000000"/>
                <w:sz w:val="20"/>
                <w:szCs w:val="20"/>
                <w:rtl w:val="0"/>
              </w:rPr>
              <w:t xml:space="preserve">Membership (43%) + events (19%) + training (9%)</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13">
            <w:pPr>
              <w:rPr/>
            </w:pPr>
            <w:r>
              <w:rPr>
                <w:rFonts w:ascii="Arial" w:cs="Arial" w:eastAsia="Arial" w:hAnsi="Arial"/>
                <w:b w:val="0"/>
                <w:bCs w:val="0"/>
                <w:color w:val="000000"/>
                <w:sz w:val="20"/>
                <w:szCs w:val="20"/>
                <w:rtl w:val="0"/>
              </w:rPr>
              <w:t xml:space="preserve">Apache Software Foundation</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14">
            <w:pPr>
              <w:rPr/>
            </w:pPr>
            <w:r>
              <w:rPr>
                <w:rFonts w:ascii="Arial" w:cs="Arial" w:eastAsia="Arial" w:hAnsi="Arial"/>
                <w:b w:val="0"/>
                <w:bCs w:val="0"/>
                <w:color w:val="000000"/>
                <w:sz w:val="20"/>
                <w:szCs w:val="20"/>
                <w:rtl w:val="0"/>
              </w:rPr>
              <w:t xml:space="preserve">~$3M</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15">
            <w:pPr>
              <w:rPr/>
            </w:pPr>
            <w:r>
              <w:rPr>
                <w:rFonts w:ascii="Arial" w:cs="Arial" w:eastAsia="Arial" w:hAnsi="Arial"/>
                <w:b w:val="0"/>
                <w:bCs w:val="0"/>
                <w:color w:val="000000"/>
                <w:sz w:val="20"/>
                <w:szCs w:val="20"/>
                <w:rtl w:val="0"/>
              </w:rPr>
              <w:t xml:space="preserve">~10 FTE + volunteers</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16">
            <w:pPr>
              <w:rPr/>
            </w:pPr>
            <w:r>
              <w:rPr>
                <w:rFonts w:ascii="Arial" w:cs="Arial" w:eastAsia="Arial" w:hAnsi="Arial"/>
                <w:b w:val="0"/>
                <w:bCs w:val="0"/>
                <w:color w:val="000000"/>
                <w:sz w:val="20"/>
                <w:szCs w:val="20"/>
                <w:rtl w:val="0"/>
              </w:rPr>
              <w:t xml:space="preserve">Corporate sponsorship</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17">
            <w:pPr>
              <w:rPr/>
            </w:pPr>
            <w:r>
              <w:rPr>
                <w:rFonts w:ascii="Arial" w:cs="Arial" w:eastAsia="Arial" w:hAnsi="Arial"/>
                <w:b w:val="0"/>
                <w:bCs w:val="0"/>
                <w:color w:val="000000"/>
                <w:sz w:val="20"/>
                <w:szCs w:val="20"/>
                <w:rtl w:val="0"/>
              </w:rPr>
              <w:t xml:space="preserve">Python Software Foundation</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18">
            <w:pPr>
              <w:rPr/>
            </w:pPr>
            <w:r>
              <w:rPr>
                <w:rFonts w:ascii="Arial" w:cs="Arial" w:eastAsia="Arial" w:hAnsi="Arial"/>
                <w:b w:val="0"/>
                <w:bCs w:val="0"/>
                <w:color w:val="000000"/>
                <w:sz w:val="20"/>
                <w:szCs w:val="20"/>
                <w:rtl w:val="0"/>
              </w:rPr>
              <w:t xml:space="preserve">~$5M</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19">
            <w:pPr>
              <w:rPr/>
            </w:pPr>
            <w:r>
              <w:rPr>
                <w:rFonts w:ascii="Arial" w:cs="Arial" w:eastAsia="Arial" w:hAnsi="Arial"/>
                <w:b w:val="0"/>
                <w:bCs w:val="0"/>
                <w:color w:val="000000"/>
                <w:sz w:val="20"/>
                <w:szCs w:val="20"/>
                <w:rtl w:val="0"/>
              </w:rPr>
              <w:t xml:space="preserve">~15 FTE</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1A">
            <w:pPr>
              <w:rPr/>
            </w:pPr>
            <w:r>
              <w:rPr>
                <w:rFonts w:ascii="Arial" w:cs="Arial" w:eastAsia="Arial" w:hAnsi="Arial"/>
                <w:b w:val="0"/>
                <w:bCs w:val="0"/>
                <w:color w:val="000000"/>
                <w:sz w:val="20"/>
                <w:szCs w:val="20"/>
                <w:rtl w:val="0"/>
              </w:rPr>
              <w:t xml:space="preserve">PyCon (63%) + sponsorship</w:t>
            </w:r>
            <w:r>
              <w:rPr>
                <w:rtl w:val="0"/>
              </w:rPr>
            </w:r>
          </w:p>
        </w:tc>
      </w:tr>
    </w:tbl>
    <w:p w:rsidR="00000000" w:rsidDel="00000000" w:rsidP="00000000" w:rsidRDefault="00000000" w:rsidRPr="00000000" w14:paraId="0000011B">
      <w:pPr>
        <w:spacing w:after="160" w:lineRule="auto"/>
        <w:rPr/>
      </w:pPr>
      <w:r>
        <w:rPr>
          <w:rtl w:val="0"/>
        </w:rPr>
      </w:r>
    </w:p>
    <w:p w:rsidR="00000000" w:rsidDel="00000000" w:rsidP="00000000" w:rsidRDefault="00000000" w:rsidRPr="00000000" w14:paraId="0000011C">
      <w:pPr>
        <w:spacing w:after="160" w:lineRule="auto"/>
        <w:rPr/>
      </w:pPr>
      <w:r>
        <w:rPr>
          <w:rFonts w:ascii="Arial" w:cs="Arial" w:eastAsia="Arial" w:hAnsi="Arial"/>
          <w:color w:val="000000"/>
          <w:sz w:val="22"/>
          <w:szCs w:val="22"/>
          <w:rtl w:val="0"/>
        </w:rPr>
        <w:t xml:space="preserve">The Foundation’s $25M/yr maturity target and 80–100 FTE core team place it squarely in the Moodle/DHIS2/Open edX tier—well below the Linux Foundation’s scale but well above the volunteer-driven ASF and PSF models. This reflects the Foundation’s role as an operational platform steward (like Moodle) rather than a coordination umbrella (like ASF).</w:t>
      </w:r>
      <w:r>
        <w:rPr>
          <w:rtl w:val="0"/>
        </w:rPr>
      </w:r>
    </w:p>
    <w:p w:rsidR="00000000" w:rsidDel="00000000" w:rsidP="00000000" w:rsidRDefault="00000000" w:rsidRPr="00000000" w14:paraId="0000011D">
      <w:pPr>
        <w:rPr/>
      </w:pPr>
      <w:r>
        <w:br w:type="page"/>
      </w:r>
      <w:r>
        <w:rPr>
          <w:rtl w:val="0"/>
        </w:rPr>
      </w:r>
    </w:p>
    <w:p w:rsidR="00000000" w:rsidDel="00000000" w:rsidP="00000000" w:rsidRDefault="00000000" w:rsidRPr="00000000" w14:paraId="0000011E">
      <w:pPr>
        <w:pStyle w:val="Heading1"/>
        <w:spacing w:after="200" w:before="360" w:lineRule="auto"/>
        <w:rPr/>
      </w:pPr>
      <w:r>
        <w:rPr>
          <w:rFonts w:ascii="Arial" w:cs="Arial" w:eastAsia="Arial" w:hAnsi="Arial"/>
          <w:b w:val="1"/>
          <w:bCs w:val="1"/>
          <w:color w:val="1f3864"/>
          <w:sz w:val="32"/>
          <w:szCs w:val="32"/>
          <w:rtl w:val="0"/>
        </w:rPr>
        <w:t xml:space="preserve">7. Scope Boundaries</w:t>
      </w:r>
      <w:r>
        <w:rPr>
          <w:rtl w:val="0"/>
        </w:rPr>
      </w:r>
    </w:p>
    <w:p w:rsidR="00000000" w:rsidDel="00000000" w:rsidP="00000000" w:rsidRDefault="00000000" w:rsidRPr="00000000" w14:paraId="0000011F">
      <w:pPr>
        <w:spacing w:after="160" w:lineRule="auto"/>
        <w:rPr/>
      </w:pPr>
      <w:r>
        <w:rPr>
          <w:rFonts w:ascii="Arial" w:cs="Arial" w:eastAsia="Arial" w:hAnsi="Arial"/>
          <w:color w:val="000000"/>
          <w:sz w:val="22"/>
          <w:szCs w:val="22"/>
          <w:rtl w:val="0"/>
        </w:rPr>
        <w:t xml:space="preserve">The Foundation’s focused scope is a deliberate design choice (see Essay 27, Sun and Planets Architecture). The following functions are explicitly outside the Foundation’s management surface:</w:t>
      </w:r>
      <w:r>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2800"/>
        <w:gridCol w:w="4360"/>
        <w:tblGridChange w:id="0">
          <w:tblGrid>
            <w:gridCol w:w="2200"/>
            <w:gridCol w:w="2800"/>
            <w:gridCol w:w="4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3864" w:val="clear"/>
            <w:tcMar>
              <w:top w:w="80.0" w:type="dxa"/>
              <w:left w:w="120.0" w:type="dxa"/>
              <w:bottom w:w="80.0" w:type="dxa"/>
              <w:right w:w="120.0" w:type="dxa"/>
            </w:tcMar>
            <w:vAlign w:val="center"/>
          </w:tcPr>
          <w:p w:rsidR="00000000" w:rsidDel="00000000" w:rsidP="00000000" w:rsidRDefault="00000000" w:rsidRPr="00000000" w14:paraId="00000120">
            <w:pPr>
              <w:rPr/>
            </w:pPr>
            <w:r>
              <w:rPr>
                <w:rFonts w:ascii="Arial" w:cs="Arial" w:eastAsia="Arial" w:hAnsi="Arial"/>
                <w:b w:val="1"/>
                <w:bCs w:val="1"/>
                <w:color w:val="ffffff"/>
                <w:sz w:val="20"/>
                <w:szCs w:val="20"/>
                <w:rtl w:val="0"/>
              </w:rPr>
              <w:t xml:space="preserve">Function</w:t>
            </w:r>
            <w:r>
              <w:rPr>
                <w:rtl w:val="0"/>
              </w:rPr>
            </w:r>
          </w:p>
        </w:tc>
        <w:tc>
          <w:tcPr>
            <w:tcBorders>
              <w:top w:color="cccccc" w:space="0" w:sz="4" w:val="single"/>
              <w:left w:color="cccccc" w:space="0" w:sz="4" w:val="single"/>
              <w:bottom w:color="cccccc" w:space="0" w:sz="4" w:val="single"/>
              <w:right w:color="cccccc" w:space="0" w:sz="4" w:val="single"/>
            </w:tcBorders>
            <w:shd w:fill="1f3864" w:val="clear"/>
            <w:tcMar>
              <w:top w:w="80.0" w:type="dxa"/>
              <w:left w:w="120.0" w:type="dxa"/>
              <w:bottom w:w="80.0" w:type="dxa"/>
              <w:right w:w="120.0" w:type="dxa"/>
            </w:tcMar>
            <w:vAlign w:val="center"/>
          </w:tcPr>
          <w:p w:rsidR="00000000" w:rsidDel="00000000" w:rsidP="00000000" w:rsidRDefault="00000000" w:rsidRPr="00000000" w14:paraId="00000121">
            <w:pPr>
              <w:rPr/>
            </w:pPr>
            <w:r>
              <w:rPr>
                <w:rFonts w:ascii="Arial" w:cs="Arial" w:eastAsia="Arial" w:hAnsi="Arial"/>
                <w:b w:val="1"/>
                <w:bCs w:val="1"/>
                <w:color w:val="ffffff"/>
                <w:sz w:val="20"/>
                <w:szCs w:val="20"/>
                <w:rtl w:val="0"/>
              </w:rPr>
              <w:t xml:space="preserve">Managed By</w:t>
            </w:r>
            <w:r>
              <w:rPr>
                <w:rtl w:val="0"/>
              </w:rPr>
            </w:r>
          </w:p>
        </w:tc>
        <w:tc>
          <w:tcPr>
            <w:tcBorders>
              <w:top w:color="cccccc" w:space="0" w:sz="4" w:val="single"/>
              <w:left w:color="cccccc" w:space="0" w:sz="4" w:val="single"/>
              <w:bottom w:color="cccccc" w:space="0" w:sz="4" w:val="single"/>
              <w:right w:color="cccccc" w:space="0" w:sz="4" w:val="single"/>
            </w:tcBorders>
            <w:shd w:fill="1f3864" w:val="clear"/>
            <w:tcMar>
              <w:top w:w="80.0" w:type="dxa"/>
              <w:left w:w="120.0" w:type="dxa"/>
              <w:bottom w:w="80.0" w:type="dxa"/>
              <w:right w:w="120.0" w:type="dxa"/>
            </w:tcMar>
            <w:vAlign w:val="center"/>
          </w:tcPr>
          <w:p w:rsidR="00000000" w:rsidDel="00000000" w:rsidP="00000000" w:rsidRDefault="00000000" w:rsidRPr="00000000" w14:paraId="00000122">
            <w:pPr>
              <w:rPr/>
            </w:pPr>
            <w:r>
              <w:rPr>
                <w:rFonts w:ascii="Arial" w:cs="Arial" w:eastAsia="Arial" w:hAnsi="Arial"/>
                <w:b w:val="1"/>
                <w:bCs w:val="1"/>
                <w:color w:val="ffffff"/>
                <w:sz w:val="20"/>
                <w:szCs w:val="20"/>
                <w:rtl w:val="0"/>
              </w:rPr>
              <w:t xml:space="preserve">Rationale</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23">
            <w:pPr>
              <w:rPr/>
            </w:pPr>
            <w:r>
              <w:rPr>
                <w:rFonts w:ascii="Arial" w:cs="Arial" w:eastAsia="Arial" w:hAnsi="Arial"/>
                <w:b w:val="0"/>
                <w:bCs w:val="0"/>
                <w:color w:val="000000"/>
                <w:sz w:val="20"/>
                <w:szCs w:val="20"/>
                <w:rtl w:val="0"/>
              </w:rPr>
              <w:t xml:space="preserve">Fund disbursement</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24">
            <w:pPr>
              <w:rPr/>
            </w:pPr>
            <w:r>
              <w:rPr>
                <w:rFonts w:ascii="Arial" w:cs="Arial" w:eastAsia="Arial" w:hAnsi="Arial"/>
                <w:b w:val="0"/>
                <w:bCs w:val="0"/>
                <w:color w:val="000000"/>
                <w:sz w:val="20"/>
                <w:szCs w:val="20"/>
                <w:rtl w:val="0"/>
              </w:rPr>
              <w:t xml:space="preserve">Fiduciary Trustee</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25">
            <w:pPr>
              <w:rPr/>
            </w:pPr>
            <w:r>
              <w:rPr>
                <w:rFonts w:ascii="Arial" w:cs="Arial" w:eastAsia="Arial" w:hAnsi="Arial"/>
                <w:b w:val="0"/>
                <w:bCs w:val="0"/>
                <w:color w:val="000000"/>
                <w:sz w:val="20"/>
                <w:szCs w:val="20"/>
                <w:rtl w:val="0"/>
              </w:rPr>
              <w:t xml:space="preserve">Three-pillar separation; no single entity controls money and technology</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26">
            <w:pPr>
              <w:rPr/>
            </w:pPr>
            <w:r>
              <w:rPr>
                <w:rFonts w:ascii="Arial" w:cs="Arial" w:eastAsia="Arial" w:hAnsi="Arial"/>
                <w:b w:val="0"/>
                <w:bCs w:val="0"/>
                <w:color w:val="000000"/>
                <w:sz w:val="20"/>
                <w:szCs w:val="20"/>
                <w:rtl w:val="0"/>
              </w:rPr>
              <w:t xml:space="preserve">Political coordination</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27">
            <w:pPr>
              <w:rPr/>
            </w:pPr>
            <w:r>
              <w:rPr>
                <w:rFonts w:ascii="Arial" w:cs="Arial" w:eastAsia="Arial" w:hAnsi="Arial"/>
                <w:b w:val="0"/>
                <w:bCs w:val="0"/>
                <w:color w:val="000000"/>
                <w:sz w:val="20"/>
                <w:szCs w:val="20"/>
                <w:rtl w:val="0"/>
              </w:rPr>
              <w:t xml:space="preserve">AUDA-NEPAD</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28">
            <w:pPr>
              <w:rPr/>
            </w:pPr>
            <w:r>
              <w:rPr>
                <w:rFonts w:ascii="Arial" w:cs="Arial" w:eastAsia="Arial" w:hAnsi="Arial"/>
                <w:b w:val="0"/>
                <w:bCs w:val="0"/>
                <w:color w:val="000000"/>
                <w:sz w:val="20"/>
                <w:szCs w:val="20"/>
                <w:rtl w:val="0"/>
              </w:rPr>
              <w:t xml:space="preserve">Continental legitimacy requires African-led political ownership</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29">
            <w:pPr>
              <w:rPr/>
            </w:pPr>
            <w:r>
              <w:rPr>
                <w:rFonts w:ascii="Arial" w:cs="Arial" w:eastAsia="Arial" w:hAnsi="Arial"/>
                <w:b w:val="0"/>
                <w:bCs w:val="0"/>
                <w:color w:val="000000"/>
                <w:sz w:val="20"/>
                <w:szCs w:val="20"/>
                <w:rtl w:val="0"/>
              </w:rPr>
              <w:t xml:space="preserve">National education policy</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2A">
            <w:pPr>
              <w:rPr/>
            </w:pPr>
            <w:r>
              <w:rPr>
                <w:rFonts w:ascii="Arial" w:cs="Arial" w:eastAsia="Arial" w:hAnsi="Arial"/>
                <w:b w:val="0"/>
                <w:bCs w:val="0"/>
                <w:color w:val="000000"/>
                <w:sz w:val="20"/>
                <w:szCs w:val="20"/>
                <w:rtl w:val="0"/>
              </w:rPr>
              <w:t xml:space="preserve">Ministries of Education</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2B">
            <w:pPr>
              <w:rPr/>
            </w:pPr>
            <w:r>
              <w:rPr>
                <w:rFonts w:ascii="Arial" w:cs="Arial" w:eastAsia="Arial" w:hAnsi="Arial"/>
                <w:b w:val="0"/>
                <w:bCs w:val="0"/>
                <w:color w:val="000000"/>
                <w:sz w:val="20"/>
                <w:szCs w:val="20"/>
                <w:rtl w:val="0"/>
              </w:rPr>
              <w:t xml:space="preserve">Sovereign authority; adoption is voluntary</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2C">
            <w:pPr>
              <w:rPr/>
            </w:pPr>
            <w:r>
              <w:rPr>
                <w:rFonts w:ascii="Arial" w:cs="Arial" w:eastAsia="Arial" w:hAnsi="Arial"/>
                <w:b w:val="0"/>
                <w:bCs w:val="0"/>
                <w:color w:val="000000"/>
                <w:sz w:val="20"/>
                <w:szCs w:val="20"/>
                <w:rtl w:val="0"/>
              </w:rPr>
              <w:t xml:space="preserve">Planet-Project operations</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2D">
            <w:pPr>
              <w:rPr/>
            </w:pPr>
            <w:r>
              <w:rPr>
                <w:rFonts w:ascii="Arial" w:cs="Arial" w:eastAsia="Arial" w:hAnsi="Arial"/>
                <w:b w:val="0"/>
                <w:bCs w:val="0"/>
                <w:color w:val="000000"/>
                <w:sz w:val="20"/>
                <w:szCs w:val="20"/>
                <w:rtl w:val="0"/>
              </w:rPr>
              <w:t xml:space="preserve">Independent governance per project</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2E">
            <w:pPr>
              <w:rPr/>
            </w:pPr>
            <w:r>
              <w:rPr>
                <w:rFonts w:ascii="Arial" w:cs="Arial" w:eastAsia="Arial" w:hAnsi="Arial"/>
                <w:b w:val="0"/>
                <w:bCs w:val="0"/>
                <w:color w:val="000000"/>
                <w:sz w:val="20"/>
                <w:szCs w:val="20"/>
                <w:rtl w:val="0"/>
              </w:rPr>
              <w:t xml:space="preserve">Each of 10 Planet-Projects has its own DP, governance, and legacy attribution</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2F">
            <w:pPr>
              <w:rPr/>
            </w:pPr>
            <w:r>
              <w:rPr>
                <w:rFonts w:ascii="Arial" w:cs="Arial" w:eastAsia="Arial" w:hAnsi="Arial"/>
                <w:b w:val="0"/>
                <w:bCs w:val="0"/>
                <w:color w:val="000000"/>
                <w:sz w:val="20"/>
                <w:szCs w:val="20"/>
                <w:rtl w:val="0"/>
              </w:rPr>
              <w:t xml:space="preserve">Professional certification</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30">
            <w:pPr>
              <w:rPr/>
            </w:pPr>
            <w:r>
              <w:rPr>
                <w:rFonts w:ascii="Arial" w:cs="Arial" w:eastAsia="Arial" w:hAnsi="Arial"/>
                <w:b w:val="0"/>
                <w:bCs w:val="0"/>
                <w:color w:val="000000"/>
                <w:sz w:val="20"/>
                <w:szCs w:val="20"/>
                <w:rtl w:val="0"/>
              </w:rPr>
              <w:t xml:space="preserve">IMPACT Board (after spin-out)</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31">
            <w:pPr>
              <w:rPr/>
            </w:pPr>
            <w:r>
              <w:rPr>
                <w:rFonts w:ascii="Arial" w:cs="Arial" w:eastAsia="Arial" w:hAnsi="Arial"/>
                <w:b w:val="0"/>
                <w:bCs w:val="0"/>
                <w:color w:val="000000"/>
                <w:sz w:val="20"/>
                <w:szCs w:val="20"/>
                <w:rtl w:val="0"/>
              </w:rPr>
              <w:t xml:space="preserve">Market discipline requires independent certification</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32">
            <w:pPr>
              <w:rPr/>
            </w:pPr>
            <w:r>
              <w:rPr>
                <w:rFonts w:ascii="Arial" w:cs="Arial" w:eastAsia="Arial" w:hAnsi="Arial"/>
                <w:b w:val="0"/>
                <w:bCs w:val="0"/>
                <w:color w:val="000000"/>
                <w:sz w:val="20"/>
                <w:szCs w:val="20"/>
                <w:rtl w:val="0"/>
              </w:rPr>
              <w:t xml:space="preserve">Curriculum standards</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33">
            <w:pPr>
              <w:rPr/>
            </w:pPr>
            <w:r>
              <w:rPr>
                <w:rFonts w:ascii="Arial" w:cs="Arial" w:eastAsia="Arial" w:hAnsi="Arial"/>
                <w:b w:val="0"/>
                <w:bCs w:val="0"/>
                <w:color w:val="000000"/>
                <w:sz w:val="20"/>
                <w:szCs w:val="20"/>
                <w:rtl w:val="0"/>
              </w:rPr>
              <w:t xml:space="preserve">SOCLE Board (after spin-out)</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34">
            <w:pPr>
              <w:rPr/>
            </w:pPr>
            <w:r>
              <w:rPr>
                <w:rFonts w:ascii="Arial" w:cs="Arial" w:eastAsia="Arial" w:hAnsi="Arial"/>
                <w:b w:val="0"/>
                <w:bCs w:val="0"/>
                <w:color w:val="000000"/>
                <w:sz w:val="20"/>
                <w:szCs w:val="20"/>
                <w:rtl w:val="0"/>
              </w:rPr>
              <w:t xml:space="preserve">Standards must be governed by domain experts, not platform operators</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35">
            <w:pPr>
              <w:rPr/>
            </w:pPr>
            <w:r>
              <w:rPr>
                <w:rFonts w:ascii="Arial" w:cs="Arial" w:eastAsia="Arial" w:hAnsi="Arial"/>
                <w:b w:val="0"/>
                <w:bCs w:val="0"/>
                <w:color w:val="000000"/>
                <w:sz w:val="20"/>
                <w:szCs w:val="20"/>
                <w:rtl w:val="0"/>
              </w:rPr>
              <w:t xml:space="preserve">Teacher training delivery</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36">
            <w:pPr>
              <w:rPr/>
            </w:pPr>
            <w:r>
              <w:rPr>
                <w:rFonts w:ascii="Arial" w:cs="Arial" w:eastAsia="Arial" w:hAnsi="Arial"/>
                <w:b w:val="0"/>
                <w:bCs w:val="0"/>
                <w:color w:val="000000"/>
                <w:sz w:val="20"/>
                <w:szCs w:val="20"/>
                <w:rtl w:val="0"/>
              </w:rPr>
              <w:t xml:space="preserve">PROMISE + national institutions</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37">
            <w:pPr>
              <w:rPr/>
            </w:pPr>
            <w:r>
              <w:rPr>
                <w:rFonts w:ascii="Arial" w:cs="Arial" w:eastAsia="Arial" w:hAnsi="Arial"/>
                <w:b w:val="0"/>
                <w:bCs w:val="0"/>
                <w:color w:val="000000"/>
                <w:sz w:val="20"/>
                <w:szCs w:val="20"/>
                <w:rtl w:val="0"/>
              </w:rPr>
              <w:t xml:space="preserve">Training delivery requires local knowledge and relationships</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38">
            <w:pPr>
              <w:rPr/>
            </w:pPr>
            <w:r>
              <w:rPr>
                <w:rFonts w:ascii="Arial" w:cs="Arial" w:eastAsia="Arial" w:hAnsi="Arial"/>
                <w:b w:val="0"/>
                <w:bCs w:val="0"/>
                <w:color w:val="000000"/>
                <w:sz w:val="20"/>
                <w:szCs w:val="20"/>
                <w:rtl w:val="0"/>
              </w:rPr>
              <w:t xml:space="preserve">Country implementation</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39">
            <w:pPr>
              <w:rPr/>
            </w:pPr>
            <w:r>
              <w:rPr>
                <w:rFonts w:ascii="Arial" w:cs="Arial" w:eastAsia="Arial" w:hAnsi="Arial"/>
                <w:b w:val="0"/>
                <w:bCs w:val="0"/>
                <w:color w:val="000000"/>
                <w:sz w:val="20"/>
                <w:szCs w:val="20"/>
                <w:rtl w:val="0"/>
              </w:rPr>
              <w:t xml:space="preserve">RESPECT Certified Partners</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3A">
            <w:pPr>
              <w:rPr/>
            </w:pPr>
            <w:r>
              <w:rPr>
                <w:rFonts w:ascii="Arial" w:cs="Arial" w:eastAsia="Arial" w:hAnsi="Arial"/>
                <w:b w:val="0"/>
                <w:bCs w:val="0"/>
                <w:color w:val="000000"/>
                <w:sz w:val="20"/>
                <w:szCs w:val="20"/>
                <w:rtl w:val="0"/>
              </w:rPr>
              <w:t xml:space="preserve">Asset-light model: marginal costs externalized to local firms</w:t>
            </w:r>
            <w:r>
              <w:rPr>
                <w:rtl w:val="0"/>
              </w:rPr>
            </w:r>
          </w:p>
        </w:tc>
      </w:tr>
    </w:tbl>
    <w:p w:rsidR="00000000" w:rsidDel="00000000" w:rsidP="00000000" w:rsidRDefault="00000000" w:rsidRPr="00000000" w14:paraId="0000013B">
      <w:pPr>
        <w:spacing w:after="160" w:lineRule="auto"/>
        <w:rPr/>
      </w:pPr>
      <w:r>
        <w:rPr>
          <w:rtl w:val="0"/>
        </w:rPr>
      </w:r>
    </w:p>
    <w:p w:rsidR="00000000" w:rsidDel="00000000" w:rsidP="00000000" w:rsidRDefault="00000000" w:rsidRPr="00000000" w14:paraId="0000013C">
      <w:pPr>
        <w:spacing w:after="160" w:lineRule="auto"/>
        <w:rPr/>
      </w:pPr>
      <w:r>
        <w:rPr>
          <w:rFonts w:ascii="Arial" w:cs="Arial" w:eastAsia="Arial" w:hAnsi="Arial"/>
          <w:color w:val="000000"/>
          <w:sz w:val="22"/>
          <w:szCs w:val="22"/>
          <w:rtl w:val="0"/>
        </w:rPr>
        <w:t xml:space="preserve">This separation ensures that the Foundation’s management capability is concentrated where it has comparative advantage. Without the Sun-and-Planets architecture, a single entity would need to handle platform development, nine research programs, coordination with 55 governments, fund administration, and marketplace operations simultaneously. The architecture eliminates that risk by confining each entity to its domain of competency.</w:t>
      </w:r>
      <w:r>
        <w:rPr>
          <w:rtl w:val="0"/>
        </w:rPr>
      </w:r>
    </w:p>
    <w:p w:rsidR="00000000" w:rsidDel="00000000" w:rsidP="00000000" w:rsidRDefault="00000000" w:rsidRPr="00000000" w14:paraId="0000013D">
      <w:pPr>
        <w:rPr/>
      </w:pPr>
      <w:r>
        <w:br w:type="page"/>
      </w:r>
      <w:r>
        <w:rPr>
          <w:rtl w:val="0"/>
        </w:rPr>
      </w:r>
    </w:p>
    <w:p w:rsidR="00000000" w:rsidDel="00000000" w:rsidP="00000000" w:rsidRDefault="00000000" w:rsidRPr="00000000" w14:paraId="0000013E">
      <w:pPr>
        <w:pStyle w:val="Heading1"/>
        <w:spacing w:after="200" w:before="360" w:lineRule="auto"/>
        <w:rPr/>
      </w:pPr>
      <w:r>
        <w:rPr>
          <w:rFonts w:ascii="Arial" w:cs="Arial" w:eastAsia="Arial" w:hAnsi="Arial"/>
          <w:b w:val="1"/>
          <w:bCs w:val="1"/>
          <w:color w:val="1f3864"/>
          <w:sz w:val="32"/>
          <w:szCs w:val="32"/>
          <w:rtl w:val="0"/>
        </w:rPr>
        <w:t xml:space="preserve">8. Risk and Mitigation</w:t>
      </w:r>
      <w:r>
        <w:rPr>
          <w:rtl w:val="0"/>
        </w:rPr>
      </w:r>
    </w:p>
    <w:p w:rsidR="00000000" w:rsidDel="00000000" w:rsidP="00000000" w:rsidRDefault="00000000" w:rsidRPr="00000000" w14:paraId="0000013F">
      <w:pPr>
        <w:pStyle w:val="Heading2"/>
        <w:spacing w:after="160" w:before="280" w:lineRule="auto"/>
        <w:rPr/>
      </w:pPr>
      <w:r>
        <w:rPr>
          <w:rFonts w:ascii="Arial" w:cs="Arial" w:eastAsia="Arial" w:hAnsi="Arial"/>
          <w:b w:val="1"/>
          <w:bCs w:val="1"/>
          <w:color w:val="2f5496"/>
          <w:sz w:val="26"/>
          <w:szCs w:val="26"/>
          <w:rtl w:val="0"/>
        </w:rPr>
        <w:t xml:space="preserve">8.1 Revenue Concentration Risk</w:t>
      </w:r>
      <w:r>
        <w:rPr>
          <w:rtl w:val="0"/>
        </w:rPr>
      </w:r>
    </w:p>
    <w:p w:rsidR="00000000" w:rsidDel="00000000" w:rsidP="00000000" w:rsidRDefault="00000000" w:rsidRPr="00000000" w14:paraId="00000140">
      <w:pPr>
        <w:spacing w:after="160" w:lineRule="auto"/>
        <w:rPr/>
      </w:pPr>
      <w:r>
        <w:rPr>
          <w:rFonts w:ascii="Arial" w:cs="Arial" w:eastAsia="Arial" w:hAnsi="Arial"/>
          <w:color w:val="000000"/>
          <w:sz w:val="22"/>
          <w:szCs w:val="22"/>
          <w:rtl w:val="0"/>
        </w:rPr>
        <w:t xml:space="preserve">The Python Software Foundation’s experience demonstrates the danger of revenue concentration: 63–65% of PSF revenue comes from a single event (PyCon), and the 2020 cancellation due to COVID-19 forced an emergency fundraising campaign. The Foundation mitigates this risk through four independent trademark revenue streams (Certified Partner royalties, certification fees, branded merchandise, events/training), none of which is designed to exceed 40% of total revenue at maturity.</w:t>
      </w:r>
      <w:r>
        <w:rPr>
          <w:rtl w:val="0"/>
        </w:rPr>
      </w:r>
    </w:p>
    <w:p w:rsidR="00000000" w:rsidDel="00000000" w:rsidP="00000000" w:rsidRDefault="00000000" w:rsidRPr="00000000" w14:paraId="00000141">
      <w:pPr>
        <w:pStyle w:val="Heading2"/>
        <w:spacing w:after="160" w:before="280" w:lineRule="auto"/>
        <w:rPr/>
      </w:pPr>
      <w:r>
        <w:rPr>
          <w:rFonts w:ascii="Arial" w:cs="Arial" w:eastAsia="Arial" w:hAnsi="Arial"/>
          <w:b w:val="1"/>
          <w:bCs w:val="1"/>
          <w:color w:val="2f5496"/>
          <w:sz w:val="26"/>
          <w:szCs w:val="26"/>
          <w:rtl w:val="0"/>
        </w:rPr>
        <w:t xml:space="preserve">8.2 Adoption Risk</w:t>
      </w:r>
      <w:r>
        <w:rPr>
          <w:rtl w:val="0"/>
        </w:rPr>
      </w:r>
    </w:p>
    <w:p w:rsidR="00000000" w:rsidDel="00000000" w:rsidP="00000000" w:rsidRDefault="00000000" w:rsidRPr="00000000" w14:paraId="00000142">
      <w:pPr>
        <w:spacing w:after="160" w:lineRule="auto"/>
        <w:rPr/>
      </w:pPr>
      <w:r>
        <w:rPr>
          <w:rFonts w:ascii="Arial" w:cs="Arial" w:eastAsia="Arial" w:hAnsi="Arial"/>
          <w:color w:val="000000"/>
          <w:sz w:val="22"/>
          <w:szCs w:val="22"/>
          <w:rtl w:val="0"/>
        </w:rPr>
        <w:t xml:space="preserve">Trademark revenue depends on ecosystem adoption (see Section 3.5 and Essay 13, How long to global scale?)—Certified Partners generating revenue, products seeking certification, brands seeking association. The DP bridge is designed to cover this ramp-up period with a conservative 7-year trajectory. If adoption is slower than projected, the SpoDit sensitivity factor in the financial model allows scenario testing (e.g., 50% of projected revenue) and the tranche structure provides natural decision points for funders to assess progress before committing further capital.</w:t>
      </w:r>
      <w:r>
        <w:rPr>
          <w:rtl w:val="0"/>
        </w:rPr>
      </w:r>
    </w:p>
    <w:p w:rsidR="00000000" w:rsidDel="00000000" w:rsidP="00000000" w:rsidRDefault="00000000" w:rsidRPr="00000000" w14:paraId="00000143">
      <w:pPr>
        <w:pStyle w:val="Heading2"/>
        <w:spacing w:after="160" w:before="280" w:lineRule="auto"/>
        <w:rPr/>
      </w:pPr>
      <w:r>
        <w:rPr>
          <w:rFonts w:ascii="Arial" w:cs="Arial" w:eastAsia="Arial" w:hAnsi="Arial"/>
          <w:b w:val="1"/>
          <w:bCs w:val="1"/>
          <w:color w:val="2f5496"/>
          <w:sz w:val="26"/>
          <w:szCs w:val="26"/>
          <w:rtl w:val="0"/>
        </w:rPr>
        <w:t xml:space="preserve">8.3 Governance Capture Risk</w:t>
      </w:r>
      <w:r>
        <w:rPr>
          <w:rtl w:val="0"/>
        </w:rPr>
      </w:r>
    </w:p>
    <w:p w:rsidR="00000000" w:rsidDel="00000000" w:rsidP="00000000" w:rsidRDefault="00000000" w:rsidRPr="00000000" w14:paraId="00000144">
      <w:pPr>
        <w:spacing w:after="160" w:lineRule="auto"/>
        <w:rPr/>
      </w:pPr>
      <w:r>
        <w:rPr>
          <w:rFonts w:ascii="Arial" w:cs="Arial" w:eastAsia="Arial" w:hAnsi="Arial"/>
          <w:color w:val="000000"/>
          <w:sz w:val="22"/>
          <w:szCs w:val="22"/>
          <w:rtl w:val="0"/>
        </w:rPr>
        <w:t xml:space="preserve">The Golden Veto exists to prevent governance capture by private actors within Professional Bodies or Product Associations. However, the Foundation itself could theoretically become a capture risk. Three structural safeguards mitigate this: (1) RESPECT is Free and Open Source—forks are legally possible, so excessive control incentivizes exit; (2) the three-pillar structure ensures the Foundation has no financial or political leverage beyond its technical domain; (3) the planned transfer to a RESPECT-only foundation under an established FOSS umbrella limits the Foundation’s long-term control.</w:t>
      </w:r>
      <w:r>
        <w:rPr>
          <w:rtl w:val="0"/>
        </w:rPr>
      </w:r>
    </w:p>
    <w:p w:rsidR="00000000" w:rsidDel="00000000" w:rsidP="00000000" w:rsidRDefault="00000000" w:rsidRPr="00000000" w14:paraId="00000145">
      <w:pPr>
        <w:pStyle w:val="Heading2"/>
        <w:spacing w:after="160" w:before="280" w:lineRule="auto"/>
        <w:rPr/>
      </w:pPr>
      <w:r>
        <w:rPr>
          <w:rFonts w:ascii="Arial" w:cs="Arial" w:eastAsia="Arial" w:hAnsi="Arial"/>
          <w:b w:val="1"/>
          <w:bCs w:val="1"/>
          <w:color w:val="2f5496"/>
          <w:sz w:val="26"/>
          <w:szCs w:val="26"/>
          <w:rtl w:val="0"/>
        </w:rPr>
        <w:t xml:space="preserve">8.4 Key-Person Risk</w:t>
      </w:r>
      <w:r>
        <w:rPr>
          <w:rtl w:val="0"/>
        </w:rPr>
      </w:r>
    </w:p>
    <w:p w:rsidR="00000000" w:rsidDel="00000000" w:rsidP="00000000" w:rsidRDefault="00000000" w:rsidRPr="00000000" w14:paraId="00000146">
      <w:pPr>
        <w:spacing w:after="160" w:lineRule="auto"/>
        <w:rPr/>
      </w:pPr>
      <w:r>
        <w:rPr>
          <w:rFonts w:ascii="Arial" w:cs="Arial" w:eastAsia="Arial" w:hAnsi="Arial"/>
          <w:color w:val="000000"/>
          <w:sz w:val="22"/>
          <w:szCs w:val="22"/>
          <w:rtl w:val="0"/>
        </w:rPr>
        <w:t xml:space="preserve">During Programme Years 1–2, the Foundation’s institutional knowledge and relationships may be concentrated in a small leadership team. Mitigation includes: documented governance protocols, a board with independent directors, structured knowledge transfer processes, and the institutional incubation program that distributes ecosystem governance knowledge across multiple future-independent entities.</w:t>
      </w:r>
      <w:r>
        <w:rPr>
          <w:rtl w:val="0"/>
        </w:rPr>
      </w:r>
    </w:p>
    <w:p w:rsidR="00000000" w:rsidDel="00000000" w:rsidP="00000000" w:rsidRDefault="00000000" w:rsidRPr="00000000" w14:paraId="00000147">
      <w:pPr>
        <w:pStyle w:val="Heading2"/>
        <w:spacing w:after="160" w:before="280" w:lineRule="auto"/>
        <w:rPr/>
      </w:pPr>
      <w:r>
        <w:rPr>
          <w:rFonts w:ascii="Arial" w:cs="Arial" w:eastAsia="Arial" w:hAnsi="Arial"/>
          <w:b w:val="1"/>
          <w:bCs w:val="1"/>
          <w:color w:val="2f5496"/>
          <w:sz w:val="26"/>
          <w:szCs w:val="26"/>
          <w:rtl w:val="0"/>
        </w:rPr>
        <w:t xml:space="preserve">8.5 Regulatory Risk</w:t>
      </w:r>
      <w:r>
        <w:rPr>
          <w:rtl w:val="0"/>
        </w:rPr>
      </w:r>
    </w:p>
    <w:p w:rsidR="00000000" w:rsidDel="00000000" w:rsidP="00000000" w:rsidRDefault="00000000" w:rsidRPr="00000000" w14:paraId="00000148">
      <w:pPr>
        <w:spacing w:after="160" w:lineRule="auto"/>
        <w:rPr/>
      </w:pPr>
      <w:r>
        <w:rPr>
          <w:rFonts w:ascii="Arial" w:cs="Arial" w:eastAsia="Arial" w:hAnsi="Arial"/>
          <w:color w:val="000000"/>
          <w:sz w:val="22"/>
          <w:szCs w:val="22"/>
          <w:rtl w:val="0"/>
        </w:rPr>
        <w:t xml:space="preserve">SpoDit governance depends on the continued legal distinction between sponsor acknowledgments and advertising. This distinction is near-universal across African and Global North legal traditions (see Section 3.3 and Essay 09), and has been stable for decades in public broadcasting regulation. The Foundation maintains jurisdictional awareness through its SpoDit governance team and can adjust display rules per-country if regulatory environments change.</w:t>
      </w:r>
      <w:r>
        <w:rPr>
          <w:rtl w:val="0"/>
        </w:rPr>
      </w:r>
    </w:p>
    <w:p w:rsidR="00000000" w:rsidDel="00000000" w:rsidP="00000000" w:rsidRDefault="00000000" w:rsidRPr="00000000" w14:paraId="00000149">
      <w:pPr>
        <w:rPr/>
      </w:pPr>
      <w:r>
        <w:br w:type="page"/>
      </w:r>
      <w:r>
        <w:rPr>
          <w:rtl w:val="0"/>
        </w:rPr>
      </w:r>
    </w:p>
    <w:p w:rsidR="00000000" w:rsidDel="00000000" w:rsidP="00000000" w:rsidRDefault="00000000" w:rsidRPr="00000000" w14:paraId="0000014A">
      <w:pPr>
        <w:pStyle w:val="Heading1"/>
        <w:spacing w:after="200" w:before="360" w:lineRule="auto"/>
        <w:rPr/>
      </w:pPr>
      <w:r>
        <w:rPr>
          <w:rFonts w:ascii="Arial" w:cs="Arial" w:eastAsia="Arial" w:hAnsi="Arial"/>
          <w:b w:val="1"/>
          <w:bCs w:val="1"/>
          <w:color w:val="1f3864"/>
          <w:sz w:val="32"/>
          <w:szCs w:val="32"/>
          <w:rtl w:val="0"/>
        </w:rPr>
        <w:t xml:space="preserve">9. Strategic Milestones</w:t>
      </w:r>
      <w:r>
        <w:rPr>
          <w:rtl w:val="0"/>
        </w:rPr>
      </w:r>
    </w:p>
    <w:p w:rsidR="00000000" w:rsidDel="00000000" w:rsidP="00000000" w:rsidRDefault="00000000" w:rsidRPr="00000000" w14:paraId="0000014B">
      <w:pPr>
        <w:spacing w:after="160" w:lineRule="auto"/>
        <w:rPr/>
      </w:pPr>
      <w:r>
        <w:rPr>
          <w:rFonts w:ascii="Arial" w:cs="Arial" w:eastAsia="Arial" w:hAnsi="Arial"/>
          <w:color w:val="000000"/>
          <w:sz w:val="22"/>
          <w:szCs w:val="22"/>
          <w:rtl w:val="0"/>
        </w:rPr>
        <w:t xml:space="preserve">The table below summarizes key milestones across the Foundation’s seven Programme Years (milestone verification criteria are detailed in the DP Due Diligence Docs: Momentum Proof and Milestone-to-Money):</w:t>
      </w:r>
      <w:r>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0"/>
        <w:gridCol w:w="8160"/>
        <w:tblGridChange w:id="0">
          <w:tblGrid>
            <w:gridCol w:w="1200"/>
            <w:gridCol w:w="81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3864" w:val="clear"/>
            <w:tcMar>
              <w:top w:w="80.0" w:type="dxa"/>
              <w:left w:w="120.0" w:type="dxa"/>
              <w:bottom w:w="80.0" w:type="dxa"/>
              <w:right w:w="120.0" w:type="dxa"/>
            </w:tcMar>
            <w:vAlign w:val="center"/>
          </w:tcPr>
          <w:p w:rsidR="00000000" w:rsidDel="00000000" w:rsidP="00000000" w:rsidRDefault="00000000" w:rsidRPr="00000000" w14:paraId="0000014C">
            <w:pPr>
              <w:rPr/>
            </w:pPr>
            <w:r>
              <w:rPr>
                <w:rFonts w:ascii="Arial" w:cs="Arial" w:eastAsia="Arial" w:hAnsi="Arial"/>
                <w:b w:val="1"/>
                <w:bCs w:val="1"/>
                <w:color w:val="ffffff"/>
                <w:sz w:val="20"/>
                <w:szCs w:val="20"/>
                <w:rtl w:val="0"/>
              </w:rPr>
              <w:t xml:space="preserve">Period</w:t>
            </w:r>
            <w:r>
              <w:rPr>
                <w:rtl w:val="0"/>
              </w:rPr>
            </w:r>
          </w:p>
        </w:tc>
        <w:tc>
          <w:tcPr>
            <w:tcBorders>
              <w:top w:color="cccccc" w:space="0" w:sz="4" w:val="single"/>
              <w:left w:color="cccccc" w:space="0" w:sz="4" w:val="single"/>
              <w:bottom w:color="cccccc" w:space="0" w:sz="4" w:val="single"/>
              <w:right w:color="cccccc" w:space="0" w:sz="4" w:val="single"/>
            </w:tcBorders>
            <w:shd w:fill="1f3864" w:val="clear"/>
            <w:tcMar>
              <w:top w:w="80.0" w:type="dxa"/>
              <w:left w:w="120.0" w:type="dxa"/>
              <w:bottom w:w="80.0" w:type="dxa"/>
              <w:right w:w="120.0" w:type="dxa"/>
            </w:tcMar>
            <w:vAlign w:val="center"/>
          </w:tcPr>
          <w:p w:rsidR="00000000" w:rsidDel="00000000" w:rsidP="00000000" w:rsidRDefault="00000000" w:rsidRPr="00000000" w14:paraId="0000014D">
            <w:pPr>
              <w:rPr/>
            </w:pPr>
            <w:r>
              <w:rPr>
                <w:rFonts w:ascii="Arial" w:cs="Arial" w:eastAsia="Arial" w:hAnsi="Arial"/>
                <w:b w:val="1"/>
                <w:bCs w:val="1"/>
                <w:color w:val="ffffff"/>
                <w:sz w:val="20"/>
                <w:szCs w:val="20"/>
                <w:rtl w:val="0"/>
              </w:rPr>
              <w:t xml:space="preserve">Milestone</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4E">
            <w:pPr>
              <w:rPr/>
            </w:pPr>
            <w:r>
              <w:rPr>
                <w:rFonts w:ascii="Arial" w:cs="Arial" w:eastAsia="Arial" w:hAnsi="Arial"/>
                <w:b w:val="0"/>
                <w:bCs w:val="0"/>
                <w:color w:val="000000"/>
                <w:sz w:val="20"/>
                <w:szCs w:val="20"/>
                <w:rtl w:val="0"/>
              </w:rPr>
              <w:t xml:space="preserve">Y1</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4F">
            <w:pPr>
              <w:rPr/>
            </w:pPr>
            <w:r>
              <w:rPr>
                <w:rFonts w:ascii="Arial" w:cs="Arial" w:eastAsia="Arial" w:hAnsi="Arial"/>
                <w:b w:val="0"/>
                <w:bCs w:val="0"/>
                <w:color w:val="000000"/>
                <w:sz w:val="20"/>
                <w:szCs w:val="20"/>
                <w:rtl w:val="0"/>
              </w:rPr>
              <w:t xml:space="preserve">Foundation fully operational; platform architecture complete; pilot deployment initiated in 6 countries; first RESPECT Certified Partners trained</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50">
            <w:pPr>
              <w:rPr/>
            </w:pPr>
            <w:r>
              <w:rPr>
                <w:rFonts w:ascii="Arial" w:cs="Arial" w:eastAsia="Arial" w:hAnsi="Arial"/>
                <w:b w:val="0"/>
                <w:bCs w:val="0"/>
                <w:color w:val="000000"/>
                <w:sz w:val="20"/>
                <w:szCs w:val="20"/>
                <w:rtl w:val="0"/>
              </w:rPr>
              <w:t xml:space="preserve">Y2</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51">
            <w:pPr>
              <w:rPr/>
            </w:pPr>
            <w:sdt>
              <w:sdtPr>
                <w:id w:val="910651112"/>
                <w:tag w:val="goog_rdk_2"/>
              </w:sdtPr>
              <w:sdtContent>
                <w:r>
                  <w:rPr>
                    <w:rFonts w:ascii="Arial Unicode MS" w:cs="Arial Unicode MS" w:eastAsia="Arial Unicode MS" w:hAnsi="Arial Unicode MS"/>
                    <w:b w:val="0"/>
                    <w:bCs w:val="0"/>
                    <w:color w:val="000000"/>
                    <w:sz w:val="20"/>
                    <w:szCs w:val="20"/>
                    <w:rtl w:val="0"/>
                  </w:rPr>
                  <w:t xml:space="preserve">Platform in production use across pilot countries; Tranche 1 → 2 gate review; trademark licensing framework designed (revenue begins Y3); institutional formation (incl. GEOS) confirmed</w:t>
                </w:r>
              </w:sdtContent>
            </w:sdt>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52">
            <w:pPr>
              <w:rPr/>
            </w:pPr>
            <w:r>
              <w:rPr>
                <w:rFonts w:ascii="Arial" w:cs="Arial" w:eastAsia="Arial" w:hAnsi="Arial"/>
                <w:b w:val="0"/>
                <w:bCs w:val="0"/>
                <w:color w:val="000000"/>
                <w:sz w:val="20"/>
                <w:szCs w:val="20"/>
                <w:rtl w:val="0"/>
              </w:rPr>
              <w:t xml:space="preserve">Y3</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53">
            <w:pPr>
              <w:rPr/>
            </w:pPr>
            <w:r>
              <w:rPr>
                <w:rFonts w:ascii="Arial" w:cs="Arial" w:eastAsia="Arial" w:hAnsi="Arial"/>
                <w:b w:val="0"/>
                <w:bCs w:val="0"/>
                <w:color w:val="000000"/>
                <w:sz w:val="20"/>
                <w:szCs w:val="20"/>
                <w:rtl w:val="0"/>
              </w:rPr>
              <w:t xml:space="preserve">Certification programs operational; first trademark revenue (~$0.5M); Ecosystem Fund generating initial SpoDit revenue (~$5M); scaling beyond pilot countries begins</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54">
            <w:pPr>
              <w:rPr/>
            </w:pPr>
            <w:r>
              <w:rPr>
                <w:rFonts w:ascii="Arial" w:cs="Arial" w:eastAsia="Arial" w:hAnsi="Arial"/>
                <w:b w:val="0"/>
                <w:bCs w:val="0"/>
                <w:color w:val="000000"/>
                <w:sz w:val="20"/>
                <w:szCs w:val="20"/>
                <w:rtl w:val="0"/>
              </w:rPr>
              <w:t xml:space="preserve">Y4</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55">
            <w:pPr>
              <w:rPr/>
            </w:pPr>
            <w:sdt>
              <w:sdtPr>
                <w:id w:val="-1201929454"/>
                <w:tag w:val="goog_rdk_3"/>
              </w:sdtPr>
              <w:sdtContent>
                <w:r>
                  <w:rPr>
                    <w:rFonts w:ascii="Arial Unicode MS" w:cs="Arial Unicode MS" w:eastAsia="Arial Unicode MS" w:hAnsi="Arial Unicode MS"/>
                    <w:b w:val="0"/>
                    <w:bCs w:val="0"/>
                    <w:color w:val="000000"/>
                    <w:sz w:val="20"/>
                    <w:szCs w:val="20"/>
                    <w:rtl w:val="0"/>
                  </w:rPr>
                  <w:t xml:space="preserve">Tranche 2 → 3 gate review; earned revenue growing (21% self-funded); S-curve acceleration underway; Professional Bodies governance structures designed; accelerating adoption across additional countries</w:t>
                </w:r>
              </w:sdtContent>
            </w:sdt>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56">
            <w:pPr>
              <w:rPr/>
            </w:pPr>
            <w:r>
              <w:rPr>
                <w:rFonts w:ascii="Arial" w:cs="Arial" w:eastAsia="Arial" w:hAnsi="Arial"/>
                <w:b w:val="0"/>
                <w:bCs w:val="0"/>
                <w:color w:val="000000"/>
                <w:sz w:val="20"/>
                <w:szCs w:val="20"/>
                <w:rtl w:val="0"/>
              </w:rPr>
              <w:t xml:space="preserve">Y5</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57">
            <w:pPr>
              <w:rPr/>
            </w:pPr>
            <w:r>
              <w:rPr>
                <w:rFonts w:ascii="Arial" w:cs="Arial" w:eastAsia="Arial" w:hAnsi="Arial"/>
                <w:b w:val="0"/>
                <w:bCs w:val="0"/>
                <w:color w:val="000000"/>
                <w:sz w:val="20"/>
                <w:szCs w:val="20"/>
                <w:rtl w:val="0"/>
              </w:rPr>
              <w:t xml:space="preserve">Earned revenue approaching crossover (44% self-funded); S-curve inflection point; Professional Bodies and Product Associations begin operating; platform serving multiple countries beyond pilot cohort</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58">
            <w:pPr>
              <w:rPr/>
            </w:pPr>
            <w:r>
              <w:rPr>
                <w:rFonts w:ascii="Arial" w:cs="Arial" w:eastAsia="Arial" w:hAnsi="Arial"/>
                <w:b w:val="0"/>
                <w:bCs w:val="0"/>
                <w:color w:val="000000"/>
                <w:sz w:val="20"/>
                <w:szCs w:val="20"/>
                <w:rtl w:val="0"/>
              </w:rPr>
              <w:t xml:space="preserve">Y6</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59">
            <w:pPr>
              <w:rPr/>
            </w:pPr>
            <w:r>
              <w:rPr>
                <w:rFonts w:ascii="Arial" w:cs="Arial" w:eastAsia="Arial" w:hAnsi="Arial"/>
                <w:b w:val="0"/>
                <w:bCs w:val="0"/>
                <w:color w:val="000000"/>
                <w:sz w:val="20"/>
                <w:szCs w:val="20"/>
                <w:rtl w:val="0"/>
              </w:rPr>
              <w:t xml:space="preserve">Sustainability crossover achieved (&gt;50% self-funded); trademark revenue reaching $17M; DP bridge declining; institutional spin-outs underway; RESPECT Ecosystem at scale</w:t>
            </w:r>
            <w:r>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5A">
            <w:pPr>
              <w:rPr/>
            </w:pPr>
            <w:r>
              <w:rPr>
                <w:rFonts w:ascii="Arial" w:cs="Arial" w:eastAsia="Arial" w:hAnsi="Arial"/>
                <w:b w:val="0"/>
                <w:bCs w:val="0"/>
                <w:color w:val="000000"/>
                <w:sz w:val="20"/>
                <w:szCs w:val="20"/>
                <w:rtl w:val="0"/>
              </w:rPr>
              <w:t xml:space="preserve">Y7</w:t>
            </w:r>
            <w:r>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5B">
            <w:pPr>
              <w:rPr/>
            </w:pPr>
            <w:r>
              <w:rPr>
                <w:rFonts w:ascii="Arial" w:cs="Arial" w:eastAsia="Arial" w:hAnsi="Arial"/>
                <w:b w:val="0"/>
                <w:bCs w:val="0"/>
                <w:color w:val="000000"/>
                <w:sz w:val="20"/>
                <w:szCs w:val="20"/>
                <w:rtl w:val="0"/>
              </w:rPr>
              <w:t xml:space="preserve">Full self-sufficiency achieved (95% self-funded); platform stewardship transition planning complete; all incubated institutions independent; Tranche 3 exit review confirms sustainability</w:t>
            </w:r>
            <w:r>
              <w:rPr>
                <w:rtl w:val="0"/>
              </w:rPr>
            </w:r>
          </w:p>
        </w:tc>
      </w:tr>
    </w:tbl>
    <w:p w:rsidR="00000000" w:rsidDel="00000000" w:rsidP="00000000" w:rsidRDefault="00000000" w:rsidRPr="00000000" w14:paraId="0000015C">
      <w:pPr>
        <w:spacing w:after="160" w:lineRule="auto"/>
        <w:rPr/>
      </w:pPr>
      <w:r>
        <w:rPr>
          <w:rtl w:val="0"/>
        </w:rPr>
      </w:r>
    </w:p>
    <w:p w:rsidR="00000000" w:rsidDel="00000000" w:rsidP="00000000" w:rsidRDefault="00000000" w:rsidRPr="00000000" w14:paraId="0000015D">
      <w:pPr>
        <w:rPr/>
      </w:pPr>
      <w:r>
        <w:br w:type="page"/>
      </w:r>
      <w:r>
        <w:rPr>
          <w:rtl w:val="0"/>
        </w:rPr>
      </w:r>
    </w:p>
    <w:p w:rsidR="00000000" w:rsidDel="00000000" w:rsidP="00000000" w:rsidRDefault="00000000" w:rsidRPr="00000000" w14:paraId="0000015E">
      <w:pPr>
        <w:pStyle w:val="Heading1"/>
        <w:spacing w:after="200" w:before="360" w:lineRule="auto"/>
        <w:rPr/>
      </w:pPr>
      <w:r>
        <w:rPr>
          <w:rFonts w:ascii="Arial" w:cs="Arial" w:eastAsia="Arial" w:hAnsi="Arial"/>
          <w:b w:val="1"/>
          <w:bCs w:val="1"/>
          <w:color w:val="1f3864"/>
          <w:sz w:val="32"/>
          <w:szCs w:val="32"/>
          <w:rtl w:val="0"/>
        </w:rPr>
        <w:t xml:space="preserve">10. Conclusion</w:t>
      </w:r>
      <w:r>
        <w:rPr>
          <w:rtl w:val="0"/>
        </w:rPr>
      </w:r>
    </w:p>
    <w:p w:rsidR="00000000" w:rsidDel="00000000" w:rsidP="00000000" w:rsidRDefault="00000000" w:rsidRPr="00000000" w14:paraId="0000015F">
      <w:pPr>
        <w:spacing w:after="160" w:lineRule="auto"/>
        <w:rPr/>
      </w:pPr>
      <w:r>
        <w:rPr>
          <w:rFonts w:ascii="Arial" w:cs="Arial" w:eastAsia="Arial" w:hAnsi="Arial"/>
          <w:color w:val="000000"/>
          <w:sz w:val="22"/>
          <w:szCs w:val="22"/>
          <w:rtl w:val="0"/>
        </w:rPr>
        <w:t xml:space="preserve">The Spix Foundation’s business plan rests on three proven models operating simultaneously: a FOSS platform stewardship model (Linux Foundation, Moodle HQ, DHIS2/HISP) funded by trademark-based licensing; an ecosystem governance model enforcing legally-established sponsor credit rules (PBS, BBC, FIFA) that fund free courseware at continental scale; and an institutional incubation model (Apache, CNCF) that births independent governance bodies and then steps back.</w:t>
      </w:r>
      <w:r>
        <w:rPr>
          <w:rtl w:val="0"/>
        </w:rPr>
      </w:r>
    </w:p>
    <w:p w:rsidR="00000000" w:rsidDel="00000000" w:rsidP="00000000" w:rsidRDefault="00000000" w:rsidRPr="00000000" w14:paraId="00000160">
      <w:pPr>
        <w:spacing w:after="160" w:lineRule="auto"/>
        <w:rPr/>
      </w:pPr>
      <w:r>
        <w:rPr>
          <w:rFonts w:ascii="Arial" w:cs="Arial" w:eastAsia="Arial" w:hAnsi="Arial"/>
          <w:color w:val="000000"/>
          <w:sz w:val="22"/>
          <w:szCs w:val="22"/>
          <w:rtl w:val="0"/>
        </w:rPr>
        <w:t xml:space="preserve">The Foundation’s deliberately narrow scope—platform, trademarks, ecosystem rules, and incubation—is its greatest strategic asset. It concentrates management capability where the Foundation has genuine comparative advantage and relies on purpose-built institutions for everything else. The financial trajectory is conservative, benchmarked against real-world comparables, and designed to transition from Development Partner dependency to full self-sufficiency within seven Programme Years.</w:t>
      </w:r>
      <w:r>
        <w:rPr>
          <w:rtl w:val="0"/>
        </w:rPr>
      </w:r>
    </w:p>
    <w:p w:rsidR="00000000" w:rsidDel="00000000" w:rsidP="00000000" w:rsidRDefault="00000000" w:rsidRPr="00000000" w14:paraId="00000161">
      <w:pPr>
        <w:spacing w:after="160" w:lineRule="auto"/>
        <w:rPr/>
      </w:pPr>
      <w:r>
        <w:rPr>
          <w:rFonts w:ascii="Arial" w:cs="Arial" w:eastAsia="Arial" w:hAnsi="Arial"/>
          <w:color w:val="000000"/>
          <w:sz w:val="22"/>
          <w:szCs w:val="22"/>
          <w:rtl w:val="0"/>
        </w:rPr>
        <w:t xml:space="preserve">The full analytical basis for this plan is set out in the Breakthrough Project essay series (Essays 01–30), the DP Due Diligence Docs, and the Breakthrough Financial Model. What remains is execution.</w:t>
      </w:r>
      <w:r>
        <w:rPr>
          <w:rtl w:val="0"/>
        </w:rPr>
      </w:r>
    </w:p>
    <w:sectPr>
      <w:headerReference r:id="rId7" w:type="default"/>
      <w:footerReference r:id="rId8" w:type="default"/>
      <w:type w:val="nextPage"/>
      <w:pgSz w:h="15840" w:w="12240"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3">
    <w:pPr>
      <w:jc w:val="center"/>
      <w:rPr/>
    </w:pPr>
    <w:r w:rsidDel="00000000" w:rsidR="00000000" w:rsidRPr="00000000">
      <w:rPr>
        <w:rFonts w:ascii="Arial" w:cs="Arial" w:eastAsia="Arial" w:hAnsi="Arial"/>
        <w:color w:val="595959"/>
        <w:sz w:val="18"/>
        <w:szCs w:val="18"/>
        <w:rtl w:val="0"/>
      </w:rPr>
      <w:t xml:space="preserve">Page </w:t>
    </w:r>
    <w:r w:rsidDel="00000000" w:rsidR="00000000" w:rsidRPr="00000000">
      <w:rPr>
        <w:rFonts w:ascii="Arial" w:cs="Arial" w:eastAsia="Arial" w:hAnsi="Arial"/>
        <w:color w:val="595959"/>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2">
    <w:pPr>
      <w:pBdr>
        <w:bottom w:color="2f5496" w:space="1" w:sz="6" w:val="single"/>
      </w:pBdr>
      <w:tabs>
        <w:tab w:val="right" w:leader="none" w:pos="9026"/>
      </w:tabs>
      <w:rPr/>
    </w:pPr>
    <w:r w:rsidDel="00000000" w:rsidR="00000000" w:rsidRPr="00000000">
      <w:rPr>
        <w:rFonts w:ascii="Arial" w:cs="Arial" w:eastAsia="Arial" w:hAnsi="Arial"/>
        <w:i w:val="1"/>
        <w:iCs w:val="1"/>
        <w:color w:val="595959"/>
        <w:sz w:val="18"/>
        <w:szCs w:val="18"/>
        <w:rtl w:val="0"/>
      </w:rPr>
      <w:t xml:space="preserve">Spix Foundation — Strategic Business PlanDRAFT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1"/>
      <w:bCs w:val="1"/>
      <w:i w:val="0"/>
      <w:iCs w:val="0"/>
      <w:smallCaps w:val="0"/>
      <w:strike w:val="0"/>
      <w:color w:val="1f3864"/>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40" w:lineRule="auto"/>
      <w:ind w:left="0" w:right="0" w:firstLine="0"/>
      <w:jc w:val="left"/>
    </w:pPr>
    <w:rPr>
      <w:rFonts w:ascii="Arial" w:cs="Arial" w:eastAsia="Arial" w:hAnsi="Arial"/>
      <w:b w:val="1"/>
      <w:bCs w:val="1"/>
      <w:i w:val="0"/>
      <w:iCs w:val="0"/>
      <w:smallCaps w:val="0"/>
      <w:strike w:val="0"/>
      <w:color w:val="2f5496"/>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pPr>
    <w:rPr>
      <w:rFonts w:ascii="Arial" w:cs="Arial" w:eastAsia="Arial" w:hAnsi="Arial"/>
      <w:b w:val="1"/>
      <w:bCs w:val="1"/>
      <w:i w:val="0"/>
      <w:iCs w:val="0"/>
      <w:smallCaps w:val="0"/>
      <w:strike w:val="0"/>
      <w:color w:val="2f5496"/>
      <w:sz w:val="22"/>
      <w:szCs w:val="22"/>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d01yTAYZoEmSUubBXJUe5eFojQ==">CgMxLjAaJAoBMBIfCh0IB0IZCgVBcmlhbBIQQXJpYWwgVW5pY29kZSBNUxokCgExEh8KHQgHQhkKBUFyaWFsEhBBcmlhbCBVbmljb2RlIE1TGiQKATISHwodCAdCGQoFQXJpYWwSEEFyaWFsIFVuaWNvZGUgTVMaJAoBMxIfCh0IB0IZCgVBcmlhbBIQQXJpYWwgVW5pY29kZSBNUzgAaiYKFHN1Z2dlc3QuZWxrYmZqMWgxeDZuEg5CYXJiYXJhIEdsb3ZlcnIhMTdMMDhJRVZ6cFZIYWttaG8xQVY1WEtGWHZpQy1WM3p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2026-02-21T11:17:36.551Z</dcterms:created>
  <dc:creator>Un-named</dc:creator>
</cp:coreProperties>
</file>

<file path=docProps/custom.xml><?xml version="1.0" encoding="utf-8"?>
<Properties xmlns="http://schemas.openxmlformats.org/officeDocument/2006/custom-properties" xmlns:vt="http://schemas.openxmlformats.org/officeDocument/2006/docPropsVTypes"/>
</file>